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宋体" w:hAnsi="宋体"/>
          <w:sz w:val="32"/>
          <w:szCs w:val="32"/>
        </w:rPr>
      </w:pPr>
      <w:r>
        <w:rPr>
          <w:rFonts w:hint="eastAsia" w:ascii="宋体" w:hAnsi="宋体"/>
          <w:sz w:val="32"/>
          <w:szCs w:val="32"/>
        </w:rPr>
        <w:t>附件4</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关于部分检验项目的说明</w:t>
      </w:r>
    </w:p>
    <w:p>
      <w:pPr>
        <w:spacing w:line="600" w:lineRule="exact"/>
        <w:ind w:firstLine="643" w:firstLineChars="200"/>
        <w:rPr>
          <w:rFonts w:ascii="仿宋_GB2312" w:hAnsi="Times New Roman" w:eastAsia="仿宋_GB2312"/>
          <w:b/>
          <w:sz w:val="32"/>
          <w:szCs w:val="32"/>
        </w:rPr>
      </w:pPr>
    </w:p>
    <w:p>
      <w:pPr>
        <w:spacing w:line="560" w:lineRule="exact"/>
        <w:ind w:firstLine="640" w:firstLineChars="200"/>
        <w:jc w:val="left"/>
        <w:rPr>
          <w:rFonts w:hint="eastAsia" w:ascii="仿宋_GB2312" w:hAnsi="宋体" w:eastAsia="仿宋_GB2312"/>
          <w:sz w:val="32"/>
          <w:szCs w:val="32"/>
        </w:rPr>
      </w:pPr>
      <w:r>
        <w:rPr>
          <w:rFonts w:hint="eastAsia" w:ascii="仿宋" w:hAnsi="仿宋" w:eastAsia="仿宋" w:cs="仿宋"/>
          <w:sz w:val="32"/>
          <w:szCs w:val="32"/>
          <w:lang w:val="en-US" w:eastAsia="zh-CN" w:bidi="zh-CN"/>
        </w:rPr>
        <w:t>一、</w:t>
      </w:r>
      <w:r>
        <w:rPr>
          <w:rFonts w:hint="eastAsia" w:ascii="仿宋_GB2312" w:hAnsi="宋体" w:eastAsia="仿宋_GB2312"/>
          <w:sz w:val="32"/>
          <w:szCs w:val="32"/>
        </w:rPr>
        <w:t>4-氯苯氧乙酸钠（以4-氯苯氧乙酸计）</w:t>
      </w:r>
    </w:p>
    <w:p>
      <w:pPr>
        <w:numPr>
          <w:ilvl w:val="0"/>
          <w:numId w:val="1"/>
        </w:numPr>
        <w:spacing w:line="560" w:lineRule="exact"/>
        <w:ind w:firstLine="640" w:firstLineChars="200"/>
        <w:jc w:val="left"/>
        <w:rPr>
          <w:rFonts w:hint="eastAsia" w:ascii="仿宋" w:hAnsi="仿宋" w:eastAsia="仿宋" w:cs="仿宋"/>
          <w:sz w:val="32"/>
          <w:szCs w:val="32"/>
          <w:lang w:val="zh-CN" w:eastAsia="zh-CN" w:bidi="zh-CN"/>
        </w:rPr>
      </w:pPr>
      <w:r>
        <w:rPr>
          <w:rFonts w:hint="eastAsia" w:ascii="仿宋" w:hAnsi="仿宋" w:eastAsia="仿宋" w:cs="仿宋"/>
          <w:sz w:val="32"/>
          <w:szCs w:val="32"/>
          <w:lang w:val="zh-CN" w:eastAsia="zh-CN" w:bidi="zh-CN"/>
        </w:rPr>
        <w:t>氯苯氧乙酸钠，是一种植物生长调节剂。主要用于防止落花落果、抑制豆类生根等，并能调节植物株内激素的平衡。豆芽中检出4-氯苯氧乙酸钠可能是由于豆芽生产商在生产过程中为了抑制豆芽生根，提高豆芽产量而违规使用。原国家食品药品监督管理总局、农业部、国家卫生和计划生育委员会关于豆芽生产过程中禁止使用 6-苄基腺嘌呤等物质的公告年第 11 号）规定豆芽生产经营过程中禁止使用 4-氯苯氧乙酸钠。</w:t>
      </w:r>
    </w:p>
    <w:p>
      <w:pPr>
        <w:numPr>
          <w:ilvl w:val="0"/>
          <w:numId w:val="2"/>
        </w:numPr>
        <w:spacing w:line="560" w:lineRule="exact"/>
        <w:ind w:firstLine="640" w:firstLineChars="200"/>
        <w:jc w:val="left"/>
        <w:rPr>
          <w:rFonts w:hint="eastAsia" w:ascii="仿宋" w:hAnsi="仿宋" w:eastAsia="仿宋" w:cs="仿宋"/>
          <w:sz w:val="32"/>
          <w:szCs w:val="32"/>
          <w:lang w:val="zh-CN" w:eastAsia="zh-CN" w:bidi="zh-CN"/>
        </w:rPr>
      </w:pPr>
      <w:r>
        <w:rPr>
          <w:rFonts w:hint="eastAsia" w:ascii="仿宋" w:hAnsi="仿宋" w:eastAsia="仿宋" w:cs="仿宋"/>
          <w:sz w:val="32"/>
          <w:szCs w:val="32"/>
          <w:lang w:val="zh-CN" w:eastAsia="zh-CN" w:bidi="zh-CN"/>
        </w:rPr>
        <w:t>6-苄基腺嘌呤（6-BA）</w:t>
      </w:r>
    </w:p>
    <w:p>
      <w:pPr>
        <w:spacing w:line="560" w:lineRule="exact"/>
        <w:ind w:firstLine="640" w:firstLineChars="200"/>
        <w:jc w:val="left"/>
        <w:rPr>
          <w:rFonts w:hint="eastAsia" w:ascii="仿宋" w:hAnsi="仿宋" w:eastAsia="仿宋" w:cs="仿宋"/>
          <w:sz w:val="32"/>
          <w:szCs w:val="32"/>
          <w:lang w:val="zh-CN" w:eastAsia="zh-CN" w:bidi="zh-CN"/>
        </w:rPr>
      </w:pPr>
      <w:r>
        <w:rPr>
          <w:rFonts w:hint="eastAsia" w:ascii="仿宋" w:hAnsi="仿宋" w:eastAsia="仿宋" w:cs="仿宋"/>
          <w:sz w:val="32"/>
          <w:szCs w:val="32"/>
          <w:lang w:val="zh-CN" w:eastAsia="zh-CN" w:bidi="zh-CN"/>
        </w:rPr>
        <w:t>6-苄基腺嘌呤是一种广泛使用的添加于植物生长培养基的细胞分裂素，具有抑制植物叶内叶绿素、核酸、蛋白质的分解，保绿防老;将氨基酸、生长素、无机盐等向处理部位调运等多种效能，广泛用在农业、果树和园艺作物从发芽到收获的各个阶段。国家食品药品监督管理总局 农业部 国家卫生和计划生育委员会发布关于豆芽生产过程中禁止使用6-苄基腺嘌呤等物质的公告(2015年第11号)，公告内容:6-苄基腺嘌呤、4-氯苯氧乙酸钠、赤霉素等物质作为低毒农药登记管理并限定了使用范围，豆芽生产不在可使用范围之列，且目前豆芽生产过程中使用上述物质的安全性尚无结论。为确保豆芽食用安全，生产者及豆芽经营不得生产/经营含6-苄基腺嘌呤、4-氯苯氧乙酸钠、赤霉素等物质，豆芽经营者不得经营含有6-苄基腺嘌呤、4-氯苯氧乙酸钠、赤霉素等物质的豆芽。</w:t>
      </w:r>
    </w:p>
    <w:p>
      <w:pPr>
        <w:numPr>
          <w:ilvl w:val="0"/>
          <w:numId w:val="2"/>
        </w:numPr>
        <w:spacing w:line="560" w:lineRule="exact"/>
        <w:ind w:left="0" w:leftChars="0" w:firstLine="640" w:firstLineChars="200"/>
        <w:jc w:val="left"/>
        <w:rPr>
          <w:rFonts w:hint="eastAsia" w:ascii="仿宋" w:hAnsi="仿宋" w:eastAsia="仿宋" w:cs="仿宋"/>
          <w:sz w:val="32"/>
          <w:szCs w:val="32"/>
          <w:lang w:val="en-US" w:eastAsia="zh-CN" w:bidi="zh-CN"/>
        </w:rPr>
      </w:pPr>
      <w:r>
        <w:rPr>
          <w:rFonts w:hint="eastAsia" w:ascii="仿宋" w:hAnsi="仿宋" w:eastAsia="仿宋" w:cs="仿宋"/>
          <w:sz w:val="32"/>
          <w:szCs w:val="32"/>
          <w:lang w:val="en-US" w:eastAsia="zh-CN" w:bidi="zh-CN"/>
        </w:rPr>
        <w:t>谷氨酸钠</w:t>
      </w:r>
    </w:p>
    <w:p>
      <w:pPr>
        <w:spacing w:line="560" w:lineRule="exact"/>
        <w:ind w:firstLine="640" w:firstLineChars="200"/>
        <w:jc w:val="left"/>
        <w:rPr>
          <w:rFonts w:hint="eastAsia" w:ascii="仿宋" w:hAnsi="仿宋" w:eastAsia="仿宋" w:cs="仿宋"/>
          <w:sz w:val="32"/>
          <w:szCs w:val="32"/>
          <w:lang w:val="en-US" w:eastAsia="zh-CN" w:bidi="zh-CN"/>
        </w:rPr>
      </w:pPr>
      <w:r>
        <w:rPr>
          <w:rFonts w:hint="eastAsia" w:ascii="仿宋_GB2312" w:hAnsi="宋体" w:eastAsia="仿宋_GB2312"/>
          <w:sz w:val="32"/>
          <w:szCs w:val="32"/>
          <w:lang w:val="en-US" w:eastAsia="zh-CN"/>
        </w:rPr>
        <w:t>谷氨酸钠是一种由钠离子与谷氨酸根离子形成的盐，俗称味精，是重要的鲜味剂，对香味具有增强作用。谷氨酸钠广泛用于食品调味剂，既可单独使用，又能与其它氨基酸等并用。谷氨酸钠是鸡精成分的特征指标，同时也是反映鸡精调味料质量的重要指标。谷氨酸钠不合格的可能原因：企业未按标准要求组织生产，或为降低成本，导致原料添加量不够。</w:t>
      </w:r>
    </w:p>
    <w:p>
      <w:pPr>
        <w:numPr>
          <w:ilvl w:val="0"/>
          <w:numId w:val="2"/>
        </w:numPr>
        <w:spacing w:line="560" w:lineRule="exact"/>
        <w:ind w:left="0" w:leftChars="0" w:firstLine="640" w:firstLineChars="200"/>
        <w:jc w:val="left"/>
        <w:rPr>
          <w:rFonts w:hint="eastAsia" w:ascii="仿宋" w:hAnsi="仿宋" w:eastAsia="仿宋" w:cs="仿宋"/>
          <w:sz w:val="32"/>
          <w:szCs w:val="32"/>
          <w:lang w:val="en-US" w:eastAsia="zh-CN" w:bidi="zh-CN"/>
        </w:rPr>
      </w:pPr>
      <w:r>
        <w:rPr>
          <w:rFonts w:hint="eastAsia" w:ascii="仿宋" w:hAnsi="仿宋" w:eastAsia="仿宋" w:cs="仿宋"/>
          <w:sz w:val="32"/>
          <w:szCs w:val="32"/>
          <w:lang w:val="en-US" w:eastAsia="zh-CN" w:bidi="zh-CN"/>
        </w:rPr>
        <w:t>呈味核苷酸二钠</w:t>
      </w:r>
    </w:p>
    <w:p>
      <w:pPr>
        <w:spacing w:line="560" w:lineRule="exact"/>
        <w:ind w:firstLine="640" w:firstLineChars="200"/>
        <w:jc w:val="left"/>
        <w:rPr>
          <w:rFonts w:hint="eastAsia" w:ascii="仿宋" w:hAnsi="仿宋" w:eastAsia="仿宋" w:cs="仿宋"/>
          <w:sz w:val="32"/>
          <w:szCs w:val="32"/>
          <w:lang w:val="en-US" w:eastAsia="zh-CN" w:bidi="zh-CN"/>
        </w:rPr>
      </w:pPr>
      <w:r>
        <w:rPr>
          <w:rFonts w:hint="eastAsia" w:ascii="仿宋" w:hAnsi="仿宋" w:eastAsia="仿宋" w:cs="仿宋"/>
          <w:sz w:val="32"/>
          <w:szCs w:val="32"/>
          <w:highlight w:val="none"/>
          <w:lang w:val="en-US" w:eastAsia="zh-CN" w:bidi="zh-CN"/>
        </w:rPr>
        <w:t>呈味核苷酸二钠是新一代的核苷酸类食品增鲜剂。5’-肌苷酸二钠(IMP)与5’-鸟苷酸二钠(GMP)是自然界中存在的2种单核苷酸，具有强烈的呈味作用，与味精具有鲜味协同作用，与味精同时使用，可以使鲜味倍增。将IMP与GMP混合，得到的呈味核苷酸二钠(I+G)混合物，呈味效果更佳，可直接加入到食品中，起增鲜作用。呈味核苷酸二钠是鸡精成分的特征指标，同时也是反映鸡精调味料质量的重要指标。SB/T10371-2003《鸡精调味料》标准规定，鸡精调味料中呈味核苷酸二钠不得低于1.10g/100g。呈味核苷酸二钠不合格的可能原因：企业未按标准要求组织生产，或为降低成本，导致原料添加量不够。</w:t>
      </w:r>
    </w:p>
    <w:p>
      <w:pPr>
        <w:numPr>
          <w:ilvl w:val="0"/>
          <w:numId w:val="2"/>
        </w:numPr>
        <w:spacing w:line="560" w:lineRule="exact"/>
        <w:ind w:left="0" w:leftChars="0" w:firstLine="640" w:firstLineChars="200"/>
        <w:jc w:val="left"/>
        <w:rPr>
          <w:rFonts w:hint="eastAsia" w:ascii="仿宋" w:hAnsi="仿宋" w:eastAsia="仿宋" w:cs="仿宋"/>
          <w:sz w:val="32"/>
          <w:szCs w:val="32"/>
          <w:lang w:val="en-US" w:eastAsia="zh-CN" w:bidi="zh-CN"/>
        </w:rPr>
      </w:pPr>
      <w:r>
        <w:rPr>
          <w:rFonts w:hint="eastAsia" w:ascii="仿宋" w:hAnsi="仿宋" w:eastAsia="仿宋" w:cs="仿宋"/>
          <w:sz w:val="32"/>
          <w:szCs w:val="32"/>
          <w:lang w:val="en-US" w:eastAsia="zh-CN" w:bidi="zh-CN"/>
        </w:rPr>
        <w:t>氧氟沙星</w:t>
      </w:r>
    </w:p>
    <w:p>
      <w:pPr>
        <w:ind w:firstLine="662"/>
        <w:rPr>
          <w:rFonts w:hint="eastAsia" w:ascii="仿宋" w:hAnsi="仿宋" w:eastAsia="仿宋" w:cs="仿宋"/>
          <w:sz w:val="32"/>
          <w:szCs w:val="32"/>
          <w:lang w:val="en-US" w:eastAsia="zh-CN" w:bidi="zh-CN"/>
        </w:rPr>
      </w:pPr>
      <w:r>
        <w:rPr>
          <w:rFonts w:hint="eastAsia" w:ascii="仿宋" w:hAnsi="仿宋" w:eastAsia="仿宋" w:cs="仿宋"/>
          <w:sz w:val="32"/>
          <w:szCs w:val="32"/>
          <w:lang w:val="zh-CN" w:eastAsia="zh-CN" w:bidi="zh-CN"/>
        </w:rPr>
        <w:t>氧氟沙星</w:t>
      </w:r>
      <w:r>
        <w:rPr>
          <w:rFonts w:hint="eastAsia" w:ascii="仿宋_GB2312" w:eastAsia="仿宋_GB2312"/>
          <w:color w:val="000000"/>
          <w:sz w:val="32"/>
          <w:szCs w:val="32"/>
        </w:rPr>
        <w:t>为第三代喹诺酮类抗菌药,具广谱抗菌作用，用于大部分需氧革兰阴性菌所致各类感染,广泛应用于畜牧疾病预防和水产养殖。我国在2015年9月1日由农业部发布中华人民共和国农业部公告第2292号中规定将氧氟沙星列为“停止经营、使用用于食品动物”类别。</w:t>
      </w:r>
    </w:p>
    <w:p>
      <w:pPr>
        <w:numPr>
          <w:ilvl w:val="0"/>
          <w:numId w:val="2"/>
        </w:numPr>
        <w:spacing w:line="560" w:lineRule="exact"/>
        <w:ind w:left="0" w:leftChars="0" w:firstLine="640" w:firstLineChars="200"/>
        <w:jc w:val="left"/>
        <w:rPr>
          <w:rFonts w:hint="eastAsia" w:ascii="仿宋" w:hAnsi="仿宋" w:eastAsia="仿宋" w:cs="仿宋"/>
          <w:sz w:val="32"/>
          <w:szCs w:val="32"/>
          <w:lang w:val="en-US" w:eastAsia="zh-CN" w:bidi="zh-CN"/>
        </w:rPr>
      </w:pPr>
      <w:r>
        <w:rPr>
          <w:rFonts w:hint="eastAsia" w:ascii="仿宋" w:hAnsi="仿宋" w:eastAsia="仿宋" w:cs="仿宋"/>
          <w:sz w:val="32"/>
          <w:szCs w:val="32"/>
          <w:lang w:val="en-US" w:eastAsia="zh-CN" w:bidi="zh-CN"/>
        </w:rPr>
        <w:t>恩诺沙星（以恩诺沙星与环丙沙星之和计）</w:t>
      </w:r>
    </w:p>
    <w:p>
      <w:pPr>
        <w:spacing w:line="560" w:lineRule="exact"/>
        <w:ind w:firstLine="640" w:firstLineChars="200"/>
        <w:jc w:val="left"/>
        <w:rPr>
          <w:rFonts w:hint="eastAsia" w:ascii="仿宋" w:hAnsi="仿宋" w:eastAsia="仿宋" w:cs="仿宋"/>
          <w:sz w:val="32"/>
          <w:szCs w:val="32"/>
          <w:lang w:val="en-US" w:eastAsia="zh-CN" w:bidi="zh-CN"/>
        </w:rPr>
      </w:pPr>
      <w:r>
        <w:rPr>
          <w:rFonts w:hint="eastAsia" w:ascii="仿宋" w:hAnsi="仿宋" w:eastAsia="仿宋" w:cs="仿宋"/>
          <w:sz w:val="32"/>
          <w:szCs w:val="32"/>
          <w:lang w:val="zh-CN" w:eastAsia="zh-CN" w:bidi="zh-CN"/>
        </w:rPr>
        <w:t>恩诺沙星，又名恩氟奎林羧酸，属于氟喹诺酮类药物，化学合成广谱抑菌剂，在预防和治疗畜禽的细菌性感染及支原体病方面有良好效果。农业部公告第 235 号《动物性食品中兽药最高残留限量》规定该类药物在鱼类肌肉中的最大残留限量为 100μg/kg（以恩诺沙星+环丙沙星之和计）。</w:t>
      </w:r>
    </w:p>
    <w:p>
      <w:pPr>
        <w:numPr>
          <w:ilvl w:val="0"/>
          <w:numId w:val="2"/>
        </w:numPr>
        <w:spacing w:line="560" w:lineRule="exact"/>
        <w:ind w:left="0" w:leftChars="0" w:firstLine="640" w:firstLineChars="200"/>
        <w:jc w:val="left"/>
        <w:rPr>
          <w:rFonts w:hint="eastAsia" w:ascii="仿宋" w:hAnsi="仿宋" w:eastAsia="仿宋" w:cs="仿宋"/>
          <w:sz w:val="32"/>
          <w:szCs w:val="32"/>
          <w:lang w:val="en-US" w:eastAsia="zh-CN" w:bidi="zh-CN"/>
        </w:rPr>
      </w:pPr>
      <w:r>
        <w:rPr>
          <w:rFonts w:hint="eastAsia" w:ascii="仿宋" w:hAnsi="仿宋" w:eastAsia="仿宋" w:cs="仿宋"/>
          <w:sz w:val="32"/>
          <w:szCs w:val="32"/>
          <w:lang w:val="en-US" w:eastAsia="zh-CN" w:bidi="zh-CN"/>
        </w:rPr>
        <w:t>毒死蜱</w:t>
      </w:r>
    </w:p>
    <w:p>
      <w:pPr>
        <w:spacing w:line="560" w:lineRule="exact"/>
        <w:ind w:firstLine="640" w:firstLineChars="200"/>
        <w:jc w:val="left"/>
        <w:rPr>
          <w:rFonts w:hint="eastAsia" w:ascii="仿宋" w:hAnsi="仿宋" w:eastAsia="仿宋" w:cs="仿宋"/>
          <w:sz w:val="32"/>
          <w:szCs w:val="32"/>
          <w:lang w:val="en-US" w:eastAsia="zh-CN" w:bidi="zh-CN"/>
        </w:rPr>
      </w:pPr>
      <w:r>
        <w:rPr>
          <w:rFonts w:hint="eastAsia" w:ascii="仿宋" w:hAnsi="仿宋" w:eastAsia="仿宋" w:cs="仿宋"/>
          <w:sz w:val="32"/>
          <w:szCs w:val="32"/>
          <w:lang w:val="zh-CN" w:eastAsia="zh-CN" w:bidi="zh-CN"/>
        </w:rPr>
        <w:t>毒死蜱是一种具有触杀、胃毒和熏蒸作用的有机磷杀虫剂。在叶片上残留期一般为 5 至 7 天，在土壤中残留期较长，对鱼类及水生生物毒性较高，对蜜蜂有毒。长期暴露在含有毒死蜱的环境中，可能会导致神经毒性、生殖毒性，并会影响胚胎的生长发育。此次抽检产品中含有残留超标可能为农户过量使用或未超过药效的持效期就上市导致。</w:t>
      </w:r>
    </w:p>
    <w:p>
      <w:pPr>
        <w:numPr>
          <w:ilvl w:val="0"/>
          <w:numId w:val="2"/>
        </w:numPr>
        <w:spacing w:line="560" w:lineRule="exact"/>
        <w:ind w:left="0" w:leftChars="0" w:firstLine="640" w:firstLineChars="200"/>
        <w:jc w:val="left"/>
        <w:rPr>
          <w:rFonts w:hint="eastAsia" w:ascii="仿宋" w:hAnsi="仿宋" w:eastAsia="仿宋" w:cs="仿宋"/>
          <w:sz w:val="32"/>
          <w:szCs w:val="32"/>
          <w:lang w:val="en-US" w:eastAsia="zh-CN" w:bidi="zh-CN"/>
        </w:rPr>
      </w:pPr>
      <w:r>
        <w:rPr>
          <w:rFonts w:hint="eastAsia" w:ascii="仿宋" w:hAnsi="仿宋" w:eastAsia="仿宋" w:cs="仿宋"/>
          <w:sz w:val="32"/>
          <w:szCs w:val="32"/>
          <w:lang w:val="en-US" w:eastAsia="zh-CN" w:bidi="zh-CN"/>
        </w:rPr>
        <w:t>呋喃唑酮代谢物</w:t>
      </w:r>
    </w:p>
    <w:p>
      <w:pPr>
        <w:spacing w:line="560" w:lineRule="exact"/>
        <w:ind w:firstLine="640" w:firstLineChars="200"/>
        <w:jc w:val="left"/>
        <w:rPr>
          <w:rFonts w:hint="eastAsia" w:ascii="仿宋" w:hAnsi="仿宋" w:eastAsia="仿宋" w:cs="仿宋"/>
          <w:sz w:val="32"/>
          <w:szCs w:val="32"/>
          <w:lang w:val="en-US" w:eastAsia="zh-CN" w:bidi="zh-CN"/>
        </w:rPr>
      </w:pPr>
      <w:r>
        <w:rPr>
          <w:rFonts w:hint="eastAsia" w:ascii="仿宋" w:hAnsi="仿宋" w:eastAsia="仿宋" w:cs="仿宋"/>
          <w:sz w:val="32"/>
          <w:szCs w:val="32"/>
          <w:lang w:val="zh-CN" w:eastAsia="zh-CN" w:bidi="zh-CN"/>
        </w:rPr>
        <w:t>硝基呋喃类药物（呋喃它酮、呋喃唑酮、呋喃妥因、呋喃西林）是广谱抗生素，农业部规定该类药物为“禁止使用的药物，在动物性食品中不得检出”。</w:t>
      </w:r>
    </w:p>
    <w:p>
      <w:pPr>
        <w:numPr>
          <w:ilvl w:val="0"/>
          <w:numId w:val="2"/>
        </w:numPr>
        <w:spacing w:line="560" w:lineRule="exact"/>
        <w:ind w:left="0" w:leftChars="0" w:firstLine="640" w:firstLineChars="200"/>
        <w:jc w:val="left"/>
        <w:rPr>
          <w:rFonts w:hint="eastAsia" w:ascii="仿宋" w:hAnsi="仿宋" w:eastAsia="仿宋" w:cs="仿宋"/>
          <w:sz w:val="32"/>
          <w:szCs w:val="32"/>
          <w:lang w:val="en-US" w:eastAsia="zh-CN" w:bidi="zh-CN"/>
        </w:rPr>
      </w:pPr>
      <w:r>
        <w:rPr>
          <w:rFonts w:hint="eastAsia" w:ascii="仿宋" w:hAnsi="仿宋" w:eastAsia="仿宋" w:cs="仿宋"/>
          <w:sz w:val="32"/>
          <w:szCs w:val="32"/>
          <w:lang w:val="en-US" w:eastAsia="zh-CN" w:bidi="zh-CN"/>
        </w:rPr>
        <w:t>镉(以Cd计)</w:t>
      </w:r>
    </w:p>
    <w:p>
      <w:pPr>
        <w:spacing w:line="560" w:lineRule="exact"/>
        <w:ind w:firstLine="640" w:firstLineChars="200"/>
        <w:jc w:val="left"/>
        <w:rPr>
          <w:rFonts w:hint="eastAsia" w:ascii="仿宋" w:hAnsi="仿宋" w:eastAsia="仿宋" w:cs="仿宋"/>
          <w:sz w:val="32"/>
          <w:szCs w:val="32"/>
          <w:lang w:val="zh-CN" w:eastAsia="zh-CN" w:bidi="zh-CN"/>
        </w:rPr>
      </w:pPr>
      <w:r>
        <w:rPr>
          <w:rFonts w:hint="eastAsia" w:ascii="仿宋" w:hAnsi="仿宋" w:eastAsia="仿宋" w:cs="仿宋"/>
          <w:sz w:val="32"/>
          <w:szCs w:val="32"/>
          <w:lang w:val="zh-CN" w:eastAsia="zh-CN" w:bidi="zh-CN"/>
        </w:rPr>
        <w:t>镉均属于重金属污染物，会在水体生物，如鱼类、浮游动物等体内积累富集，并且对它们产生毒性危害风险。本次抽检重金属铅、镉超标的原因可能是因为水体、环境等遭受重金属污染，继而在水产动物体内富集而导致。</w:t>
      </w:r>
    </w:p>
    <w:p>
      <w:pPr>
        <w:numPr>
          <w:ilvl w:val="0"/>
          <w:numId w:val="2"/>
        </w:numPr>
        <w:spacing w:line="560" w:lineRule="exact"/>
        <w:ind w:left="0" w:leftChars="0" w:firstLine="640" w:firstLineChars="200"/>
        <w:jc w:val="left"/>
        <w:rPr>
          <w:rFonts w:hint="eastAsia" w:ascii="仿宋" w:hAnsi="仿宋" w:eastAsia="仿宋" w:cs="仿宋"/>
          <w:sz w:val="32"/>
          <w:szCs w:val="32"/>
          <w:lang w:val="en-US" w:eastAsia="zh-CN" w:bidi="zh-CN"/>
        </w:rPr>
      </w:pPr>
      <w:r>
        <w:rPr>
          <w:rFonts w:hint="eastAsia" w:ascii="仿宋" w:hAnsi="仿宋" w:eastAsia="仿宋" w:cs="仿宋"/>
          <w:sz w:val="32"/>
          <w:szCs w:val="32"/>
          <w:lang w:val="en-US" w:eastAsia="zh-CN" w:bidi="zh-CN"/>
        </w:rPr>
        <w:t>过氧化值(以脂肪计)</w:t>
      </w:r>
    </w:p>
    <w:p>
      <w:pPr>
        <w:spacing w:line="560" w:lineRule="exact"/>
        <w:ind w:firstLine="640" w:firstLineChars="200"/>
        <w:jc w:val="left"/>
        <w:rPr>
          <w:rFonts w:hint="eastAsia" w:ascii="仿宋" w:hAnsi="仿宋" w:eastAsia="仿宋" w:cs="仿宋"/>
          <w:sz w:val="32"/>
          <w:szCs w:val="32"/>
          <w:lang w:val="en-US" w:eastAsia="zh-CN" w:bidi="zh-CN"/>
        </w:rPr>
      </w:pPr>
      <w:r>
        <w:rPr>
          <w:rFonts w:hint="eastAsia" w:ascii="仿宋_GB2312" w:hAnsi="宋体" w:eastAsia="仿宋_GB2312"/>
          <w:sz w:val="32"/>
          <w:szCs w:val="32"/>
          <w:lang w:val="zh-CN" w:eastAsia="zh-CN"/>
        </w:rPr>
        <w:t>过氧化值主要反映食品中油脂是否氧化变质。随着油脂氧化，过氧化值会逐步升高。过氧化值超标可能是产品用油已经变质，或者产品在储存过程中环境条件控制不当，导致油脂酸败；也可能是原料中的脂肪已经氧化，原料储存不当，未采取有效的抗氧化措施，使得终产品油脂氧化。</w:t>
      </w:r>
    </w:p>
    <w:p>
      <w:pPr>
        <w:numPr>
          <w:ilvl w:val="0"/>
          <w:numId w:val="2"/>
        </w:numPr>
        <w:spacing w:line="560" w:lineRule="exact"/>
        <w:ind w:left="0" w:leftChars="0" w:firstLine="640" w:firstLineChars="200"/>
        <w:jc w:val="left"/>
        <w:rPr>
          <w:rFonts w:hint="eastAsia" w:ascii="仿宋" w:hAnsi="仿宋" w:eastAsia="仿宋" w:cs="仿宋"/>
          <w:sz w:val="32"/>
          <w:szCs w:val="32"/>
          <w:lang w:val="en-US" w:eastAsia="zh-CN" w:bidi="zh-CN"/>
        </w:rPr>
      </w:pPr>
      <w:r>
        <w:rPr>
          <w:rFonts w:hint="eastAsia" w:ascii="仿宋" w:hAnsi="仿宋" w:eastAsia="仿宋" w:cs="仿宋"/>
          <w:sz w:val="32"/>
          <w:szCs w:val="32"/>
          <w:lang w:val="en-US" w:eastAsia="zh-CN" w:bidi="zh-CN"/>
        </w:rPr>
        <w:t>黄曲霉毒素B</w:t>
      </w:r>
      <w:r>
        <w:rPr>
          <w:rFonts w:hint="eastAsia" w:ascii="仿宋" w:hAnsi="仿宋" w:eastAsia="仿宋" w:cs="仿宋"/>
          <w:sz w:val="22"/>
          <w:szCs w:val="22"/>
          <w:lang w:val="en-US" w:eastAsia="zh-CN" w:bidi="zh-CN"/>
        </w:rPr>
        <w:t>1</w:t>
      </w:r>
    </w:p>
    <w:p>
      <w:pPr>
        <w:spacing w:line="600" w:lineRule="exact"/>
        <w:ind w:firstLine="640" w:firstLineChars="200"/>
        <w:rPr>
          <w:rFonts w:hint="eastAsia" w:ascii="仿宋" w:hAnsi="仿宋" w:eastAsia="仿宋" w:cs="仿宋"/>
          <w:sz w:val="32"/>
          <w:szCs w:val="32"/>
          <w:lang w:val="en-US" w:eastAsia="zh-CN" w:bidi="zh-CN"/>
        </w:rPr>
      </w:pPr>
      <w:r>
        <w:rPr>
          <w:rFonts w:hint="eastAsia" w:ascii="仿宋_GB2312" w:hAnsi="宋体" w:eastAsia="仿宋_GB2312"/>
          <w:sz w:val="32"/>
          <w:szCs w:val="32"/>
          <w:lang w:val="zh-CN" w:eastAsia="zh-CN"/>
        </w:rPr>
        <w:t>黄曲霉毒素B</w:t>
      </w:r>
      <w:r>
        <w:rPr>
          <w:rFonts w:hint="eastAsia" w:ascii="仿宋_GB2312" w:hAnsi="宋体" w:eastAsia="仿宋_GB2312"/>
          <w:sz w:val="22"/>
          <w:szCs w:val="22"/>
          <w:lang w:val="zh-CN" w:eastAsia="zh-CN"/>
        </w:rPr>
        <w:t>1</w:t>
      </w:r>
      <w:r>
        <w:rPr>
          <w:rFonts w:hint="eastAsia" w:ascii="仿宋_GB2312" w:hAnsi="宋体" w:eastAsia="仿宋_GB2312"/>
          <w:sz w:val="32"/>
          <w:szCs w:val="32"/>
          <w:lang w:val="zh-CN" w:eastAsia="zh-CN"/>
        </w:rPr>
        <w:t>是黄曲霉寄生曲霉产生的</w:t>
      </w:r>
      <w:r>
        <w:rPr>
          <w:rFonts w:hint="eastAsia" w:ascii="仿宋_GB2312" w:hAnsi="宋体" w:eastAsia="仿宋_GB2312"/>
          <w:sz w:val="32"/>
          <w:szCs w:val="32"/>
          <w:lang w:val="zh-CN" w:eastAsia="zh-CN"/>
        </w:rPr>
        <w:fldChar w:fldCharType="begin"/>
      </w:r>
      <w:r>
        <w:rPr>
          <w:rFonts w:hint="eastAsia" w:ascii="仿宋_GB2312" w:hAnsi="宋体" w:eastAsia="仿宋_GB2312"/>
          <w:sz w:val="32"/>
          <w:szCs w:val="32"/>
          <w:lang w:val="zh-CN" w:eastAsia="zh-CN"/>
        </w:rPr>
        <w:instrText xml:space="preserve"> HYPERLINK "http://baike.baidu.com/view/1079691.htm" </w:instrText>
      </w:r>
      <w:r>
        <w:rPr>
          <w:rFonts w:hint="eastAsia" w:ascii="仿宋_GB2312" w:hAnsi="宋体" w:eastAsia="仿宋_GB2312"/>
          <w:sz w:val="32"/>
          <w:szCs w:val="32"/>
          <w:lang w:val="zh-CN" w:eastAsia="zh-CN"/>
        </w:rPr>
        <w:fldChar w:fldCharType="separate"/>
      </w:r>
      <w:r>
        <w:rPr>
          <w:rFonts w:hint="eastAsia" w:ascii="仿宋_GB2312" w:hAnsi="宋体" w:eastAsia="仿宋_GB2312"/>
          <w:sz w:val="32"/>
          <w:szCs w:val="32"/>
          <w:lang w:val="zh-CN" w:eastAsia="zh-CN"/>
        </w:rPr>
        <w:t>次生代谢产物</w:t>
      </w:r>
      <w:r>
        <w:rPr>
          <w:rFonts w:hint="eastAsia" w:ascii="仿宋_GB2312" w:hAnsi="宋体" w:eastAsia="仿宋_GB2312"/>
          <w:sz w:val="32"/>
          <w:szCs w:val="32"/>
          <w:lang w:val="zh-CN" w:eastAsia="zh-CN"/>
        </w:rPr>
        <w:fldChar w:fldCharType="end"/>
      </w:r>
      <w:r>
        <w:rPr>
          <w:rFonts w:hint="eastAsia" w:ascii="仿宋_GB2312" w:hAnsi="宋体" w:eastAsia="仿宋_GB2312"/>
          <w:sz w:val="32"/>
          <w:szCs w:val="32"/>
          <w:lang w:val="zh-CN" w:eastAsia="zh-CN"/>
        </w:rPr>
        <w:t>的一种。导致黄曲霉毒素B</w:t>
      </w:r>
      <w:r>
        <w:rPr>
          <w:rFonts w:hint="eastAsia" w:ascii="仿宋_GB2312" w:hAnsi="宋体" w:eastAsia="仿宋_GB2312"/>
          <w:sz w:val="22"/>
          <w:szCs w:val="22"/>
          <w:lang w:val="zh-CN" w:eastAsia="zh-CN"/>
        </w:rPr>
        <w:t>1</w:t>
      </w:r>
      <w:r>
        <w:rPr>
          <w:rFonts w:hint="eastAsia" w:ascii="仿宋_GB2312" w:hAnsi="宋体" w:eastAsia="仿宋_GB2312"/>
          <w:sz w:val="32"/>
          <w:szCs w:val="32"/>
          <w:lang w:val="zh-CN" w:eastAsia="zh-CN"/>
        </w:rPr>
        <w:t>不合格可能是原料在采收和储运过程中温度、湿度等环境条件控制不当，霉变、腐烂，企业生产前对原料把关不严；精炼工艺不达标或工艺控制不当等导致。或者是销售者储存运输不当：如存储环境不适宜，食品易腐败生霉等导致。</w:t>
      </w:r>
    </w:p>
    <w:p>
      <w:pPr>
        <w:numPr>
          <w:ilvl w:val="0"/>
          <w:numId w:val="2"/>
        </w:numPr>
        <w:spacing w:line="560" w:lineRule="exact"/>
        <w:ind w:left="0" w:leftChars="0" w:firstLine="640" w:firstLineChars="200"/>
        <w:jc w:val="left"/>
        <w:rPr>
          <w:rFonts w:hint="eastAsia" w:ascii="仿宋" w:hAnsi="仿宋" w:eastAsia="仿宋" w:cs="仿宋"/>
          <w:sz w:val="32"/>
          <w:szCs w:val="32"/>
          <w:highlight w:val="none"/>
          <w:lang w:val="en-US" w:eastAsia="zh-CN" w:bidi="zh-CN"/>
        </w:rPr>
      </w:pPr>
      <w:r>
        <w:rPr>
          <w:rFonts w:hint="eastAsia" w:ascii="仿宋" w:hAnsi="仿宋" w:eastAsia="仿宋" w:cs="仿宋"/>
          <w:sz w:val="32"/>
          <w:szCs w:val="32"/>
          <w:highlight w:val="none"/>
          <w:lang w:val="en-US" w:eastAsia="zh-CN" w:bidi="zh-CN"/>
        </w:rPr>
        <w:t>酒精度</w:t>
      </w:r>
    </w:p>
    <w:p>
      <w:pPr>
        <w:spacing w:line="560" w:lineRule="exact"/>
        <w:ind w:firstLine="640" w:firstLineChars="200"/>
        <w:jc w:val="left"/>
        <w:rPr>
          <w:rFonts w:hint="eastAsia" w:ascii="仿宋" w:hAnsi="仿宋" w:eastAsia="仿宋" w:cs="仿宋"/>
          <w:sz w:val="32"/>
          <w:szCs w:val="32"/>
          <w:lang w:val="en-US" w:eastAsia="zh-CN" w:bidi="zh-CN"/>
        </w:rPr>
      </w:pPr>
      <w:r>
        <w:rPr>
          <w:rFonts w:hint="eastAsia" w:ascii="仿宋" w:hAnsi="仿宋" w:eastAsia="仿宋" w:cs="仿宋"/>
          <w:sz w:val="32"/>
          <w:szCs w:val="32"/>
          <w:lang w:val="zh-CN" w:eastAsia="zh-CN" w:bidi="zh-CN"/>
        </w:rPr>
        <w:t>酒精度又叫酒度，是指在20℃时，100毫升酒中含有乙醇（酒精）的毫升数。酒精度是酒类产品的一个重要理化指标，含量不达标主要影响产品的品质。酒中酒精度不达标会影响酒类的品质及口感，此外由于产品实际酒精度与明示指标不符也可能对消费者构成欺骗行为。</w:t>
      </w:r>
    </w:p>
    <w:p>
      <w:pPr>
        <w:numPr>
          <w:ilvl w:val="0"/>
          <w:numId w:val="2"/>
        </w:numPr>
        <w:spacing w:line="560" w:lineRule="exact"/>
        <w:ind w:left="0" w:leftChars="0" w:firstLine="640" w:firstLineChars="200"/>
        <w:jc w:val="left"/>
        <w:rPr>
          <w:rFonts w:hint="eastAsia" w:ascii="仿宋" w:hAnsi="仿宋" w:eastAsia="仿宋" w:cs="仿宋"/>
          <w:sz w:val="32"/>
          <w:szCs w:val="32"/>
          <w:lang w:val="en-US" w:eastAsia="zh-CN" w:bidi="zh-CN"/>
        </w:rPr>
      </w:pPr>
      <w:r>
        <w:rPr>
          <w:rFonts w:hint="eastAsia" w:ascii="仿宋" w:hAnsi="仿宋" w:eastAsia="仿宋" w:cs="仿宋"/>
          <w:sz w:val="32"/>
          <w:szCs w:val="32"/>
          <w:lang w:val="en-US" w:eastAsia="zh-CN" w:bidi="zh-CN"/>
        </w:rPr>
        <w:t>菌落总数</w:t>
      </w:r>
    </w:p>
    <w:p>
      <w:pPr>
        <w:spacing w:line="560" w:lineRule="exact"/>
        <w:ind w:firstLine="640" w:firstLineChars="200"/>
        <w:jc w:val="left"/>
        <w:rPr>
          <w:rFonts w:hint="eastAsia" w:ascii="仿宋" w:hAnsi="仿宋" w:eastAsia="仿宋" w:cs="仿宋"/>
          <w:sz w:val="32"/>
          <w:szCs w:val="32"/>
          <w:lang w:val="en-US" w:eastAsia="zh-CN" w:bidi="zh-CN"/>
        </w:rPr>
      </w:pPr>
      <w:r>
        <w:rPr>
          <w:rFonts w:hint="eastAsia" w:ascii="仿宋_GB2312" w:hAnsi="宋体" w:eastAsia="仿宋_GB2312"/>
          <w:sz w:val="32"/>
          <w:szCs w:val="32"/>
          <w:lang w:val="zh-CN" w:eastAsia="zh-CN"/>
        </w:rPr>
        <w:t>菌落总数是指示性微生物指标，主要用来评价食品清洁度，反映食品在生产过程中是否符合卫生要求。菌落总数超标主要是由于产品的加工原料、包装材料受污染，或在生产过程中产品受人员、工器具等生产设备、环境的污染等导致，还有可能与产品包装密封不严，储运条件控制不当等有关。</w:t>
      </w:r>
    </w:p>
    <w:p>
      <w:pPr>
        <w:numPr>
          <w:ilvl w:val="0"/>
          <w:numId w:val="2"/>
        </w:numPr>
        <w:spacing w:line="560" w:lineRule="exact"/>
        <w:ind w:left="0" w:leftChars="0" w:firstLine="640" w:firstLineChars="200"/>
        <w:jc w:val="left"/>
        <w:rPr>
          <w:rFonts w:hint="eastAsia" w:ascii="仿宋" w:hAnsi="仿宋" w:eastAsia="仿宋" w:cs="仿宋"/>
          <w:sz w:val="32"/>
          <w:szCs w:val="32"/>
          <w:lang w:val="en-US" w:eastAsia="zh-CN" w:bidi="zh-CN"/>
        </w:rPr>
      </w:pPr>
      <w:r>
        <w:rPr>
          <w:rFonts w:hint="eastAsia" w:ascii="仿宋" w:hAnsi="仿宋" w:eastAsia="仿宋" w:cs="仿宋"/>
          <w:sz w:val="32"/>
          <w:szCs w:val="32"/>
          <w:lang w:val="en-US" w:eastAsia="zh-CN" w:bidi="zh-CN"/>
        </w:rPr>
        <w:t>克百威</w:t>
      </w:r>
    </w:p>
    <w:p>
      <w:pPr>
        <w:spacing w:line="560" w:lineRule="exact"/>
        <w:ind w:firstLine="640" w:firstLineChars="200"/>
        <w:jc w:val="left"/>
        <w:rPr>
          <w:rFonts w:hint="eastAsia" w:ascii="仿宋" w:hAnsi="仿宋" w:eastAsia="仿宋" w:cs="仿宋"/>
          <w:sz w:val="32"/>
          <w:szCs w:val="32"/>
          <w:lang w:val="en-US" w:eastAsia="zh-CN" w:bidi="zh-CN"/>
        </w:rPr>
      </w:pPr>
      <w:r>
        <w:rPr>
          <w:rFonts w:hint="eastAsia" w:ascii="仿宋" w:hAnsi="仿宋" w:eastAsia="仿宋" w:cs="仿宋"/>
          <w:sz w:val="32"/>
          <w:szCs w:val="32"/>
          <w:lang w:val="zh-CN" w:eastAsia="zh-CN" w:bidi="zh-CN"/>
        </w:rPr>
        <w:t>克百威属高毒杀虫剂。对眼睛和皮肤无刺激作用。在试验剂量内对动物无致畸、致突变、致癌作用。对鱼、鸟高毒，对蜜蜂无毒害。剂型75%原粉，35%种子处理剂，3%颗粒剂。</w:t>
      </w:r>
      <w:r>
        <w:rPr>
          <w:rFonts w:hint="eastAsia" w:ascii="仿宋" w:hAnsi="仿宋" w:eastAsia="仿宋" w:cs="仿宋"/>
          <w:sz w:val="32"/>
          <w:szCs w:val="32"/>
          <w:lang w:val="zh-CN" w:eastAsia="zh-CN" w:bidi="zh-CN"/>
        </w:rPr>
        <w:br w:type="textWrapping"/>
      </w:r>
      <w:r>
        <w:rPr>
          <w:rFonts w:hint="eastAsia" w:ascii="仿宋" w:hAnsi="仿宋" w:eastAsia="仿宋" w:cs="仿宋"/>
          <w:sz w:val="32"/>
          <w:szCs w:val="32"/>
          <w:lang w:val="zh-CN" w:eastAsia="zh-CN" w:bidi="zh-CN"/>
        </w:rPr>
        <w:t>克百威是广谱性杀虫、杀线虫剂，具有触杀和胃毒作用。它与胆碱酯酶结合不可逆，因此毒性甚高。能被植物根部吸收，并输送到植物各器官，以叶缘最多。土壤处量残效期长，稻田水面撒施残效期短。适用于水稻、棉花、烟草、大豆等作物上多种害虫的防治，也可专门用作种子处理剂使用。</w:t>
      </w:r>
    </w:p>
    <w:p>
      <w:pPr>
        <w:numPr>
          <w:ilvl w:val="0"/>
          <w:numId w:val="2"/>
        </w:numPr>
        <w:spacing w:line="560" w:lineRule="exact"/>
        <w:ind w:left="0" w:leftChars="0" w:firstLine="640" w:firstLineChars="200"/>
        <w:jc w:val="left"/>
        <w:rPr>
          <w:rFonts w:hint="eastAsia" w:ascii="仿宋" w:hAnsi="仿宋" w:eastAsia="仿宋" w:cs="仿宋"/>
          <w:sz w:val="32"/>
          <w:szCs w:val="32"/>
          <w:lang w:val="en-US" w:eastAsia="zh-CN" w:bidi="zh-CN"/>
        </w:rPr>
      </w:pPr>
      <w:r>
        <w:rPr>
          <w:rFonts w:hint="eastAsia" w:ascii="仿宋" w:hAnsi="仿宋" w:eastAsia="仿宋" w:cs="仿宋"/>
          <w:sz w:val="32"/>
          <w:szCs w:val="32"/>
          <w:lang w:val="en-US" w:eastAsia="zh-CN" w:bidi="zh-CN"/>
        </w:rPr>
        <w:t>铝的残留量(干样品，以 Al 计)</w:t>
      </w:r>
    </w:p>
    <w:p>
      <w:pPr>
        <w:spacing w:line="560" w:lineRule="exact"/>
        <w:ind w:firstLine="640" w:firstLineChars="200"/>
        <w:jc w:val="left"/>
        <w:rPr>
          <w:rFonts w:hint="eastAsia" w:ascii="仿宋" w:hAnsi="仿宋" w:eastAsia="仿宋" w:cs="仿宋"/>
          <w:sz w:val="32"/>
          <w:szCs w:val="32"/>
          <w:lang w:val="en-US" w:eastAsia="zh-CN" w:bidi="zh-CN"/>
        </w:rPr>
      </w:pPr>
      <w:r>
        <w:rPr>
          <w:rFonts w:hint="eastAsia" w:ascii="仿宋" w:hAnsi="仿宋" w:eastAsia="仿宋" w:cs="仿宋"/>
          <w:sz w:val="32"/>
          <w:szCs w:val="32"/>
          <w:highlight w:val="none"/>
          <w:lang w:val="en-US" w:eastAsia="zh-CN" w:bidi="zh-CN"/>
        </w:rPr>
        <w:t>含铝食品添加剂（比如明矾）是合法的食品添加剂，根据食品安全国家标准和相关产品标准的规定，不允许超限量或超范围使用。按标准使用不会对健康造成危害。根据国家食品安全风险评估专家委员会完成的中国居民膳食铝暴露风险评估结果，我国日常膳食中的含铝食品对一般居民健康造成不良影响的可能性不大。</w:t>
      </w:r>
    </w:p>
    <w:p>
      <w:pPr>
        <w:numPr>
          <w:ilvl w:val="0"/>
          <w:numId w:val="2"/>
        </w:numPr>
        <w:spacing w:line="560" w:lineRule="exact"/>
        <w:ind w:left="0" w:leftChars="0" w:firstLine="640" w:firstLineChars="200"/>
        <w:jc w:val="left"/>
        <w:rPr>
          <w:rFonts w:hint="eastAsia" w:ascii="仿宋" w:hAnsi="仿宋" w:eastAsia="仿宋" w:cs="仿宋"/>
          <w:sz w:val="32"/>
          <w:szCs w:val="32"/>
          <w:lang w:val="en-US" w:eastAsia="zh-CN" w:bidi="zh-CN"/>
        </w:rPr>
      </w:pPr>
      <w:r>
        <w:rPr>
          <w:rFonts w:hint="eastAsia" w:ascii="仿宋" w:hAnsi="仿宋" w:eastAsia="仿宋" w:cs="仿宋"/>
          <w:sz w:val="32"/>
          <w:szCs w:val="32"/>
          <w:lang w:val="en-US" w:eastAsia="zh-CN" w:bidi="zh-CN"/>
        </w:rPr>
        <w:t>色值</w:t>
      </w:r>
    </w:p>
    <w:p>
      <w:pPr>
        <w:spacing w:line="560" w:lineRule="exact"/>
        <w:ind w:firstLine="640" w:firstLineChars="200"/>
        <w:jc w:val="left"/>
        <w:rPr>
          <w:rFonts w:hint="eastAsia" w:ascii="仿宋" w:hAnsi="仿宋" w:eastAsia="仿宋" w:cs="仿宋"/>
          <w:sz w:val="32"/>
          <w:szCs w:val="32"/>
          <w:lang w:val="en-US" w:eastAsia="zh-CN" w:bidi="zh-CN"/>
        </w:rPr>
      </w:pPr>
      <w:r>
        <w:rPr>
          <w:rFonts w:hint="eastAsia" w:ascii="仿宋_GB2312" w:hAnsi="宋体" w:eastAsia="仿宋_GB2312"/>
          <w:sz w:val="32"/>
          <w:szCs w:val="32"/>
          <w:lang w:val="zh-CN" w:eastAsia="zh-CN"/>
        </w:rPr>
        <w:t>食糖的品质指标之一，主要影响糖品的外观，是杂质多寡的一种反映，也是生产工艺水平的一种体现。</w:t>
      </w:r>
    </w:p>
    <w:p>
      <w:pPr>
        <w:numPr>
          <w:ilvl w:val="0"/>
          <w:numId w:val="2"/>
        </w:numPr>
        <w:spacing w:line="560" w:lineRule="exact"/>
        <w:ind w:left="0" w:leftChars="0" w:firstLine="640" w:firstLineChars="200"/>
        <w:jc w:val="left"/>
        <w:rPr>
          <w:rFonts w:hint="eastAsia" w:ascii="仿宋" w:hAnsi="仿宋" w:eastAsia="仿宋" w:cs="仿宋"/>
          <w:sz w:val="32"/>
          <w:szCs w:val="32"/>
          <w:lang w:val="en-US" w:eastAsia="zh-CN" w:bidi="zh-CN"/>
        </w:rPr>
      </w:pPr>
      <w:r>
        <w:rPr>
          <w:rFonts w:hint="eastAsia" w:ascii="仿宋" w:hAnsi="仿宋" w:eastAsia="仿宋" w:cs="仿宋"/>
          <w:sz w:val="32"/>
          <w:szCs w:val="32"/>
          <w:lang w:val="en-US" w:eastAsia="zh-CN" w:bidi="zh-CN"/>
        </w:rPr>
        <w:t>水胺硫磷</w:t>
      </w:r>
    </w:p>
    <w:p>
      <w:pPr>
        <w:spacing w:line="560" w:lineRule="exact"/>
        <w:ind w:firstLine="640" w:firstLineChars="200"/>
        <w:jc w:val="left"/>
        <w:rPr>
          <w:rFonts w:hint="eastAsia" w:ascii="仿宋" w:hAnsi="仿宋" w:eastAsia="仿宋" w:cs="仿宋"/>
          <w:sz w:val="32"/>
          <w:szCs w:val="32"/>
          <w:lang w:val="en-US" w:eastAsia="zh-CN" w:bidi="zh-CN"/>
        </w:rPr>
      </w:pPr>
      <w:r>
        <w:rPr>
          <w:rFonts w:hint="eastAsia" w:ascii="仿宋_GB2312" w:hAnsi="宋体" w:eastAsia="仿宋_GB2312"/>
          <w:sz w:val="32"/>
          <w:szCs w:val="32"/>
          <w:lang w:val="zh-CN" w:eastAsia="zh-CN"/>
        </w:rPr>
        <w:t>水胺硫磷是一种速效杀虫、杀螨剂。禁止用于果、茶、烟、菜、中草药植物上。抽检产品不合格可能是农户为了节省成本目的而违规使用在农产品上导致。</w:t>
      </w:r>
    </w:p>
    <w:p>
      <w:pPr>
        <w:numPr>
          <w:ilvl w:val="0"/>
          <w:numId w:val="2"/>
        </w:numPr>
        <w:spacing w:line="560" w:lineRule="exact"/>
        <w:ind w:left="0" w:leftChars="0" w:firstLine="640" w:firstLineChars="200"/>
        <w:jc w:val="left"/>
        <w:rPr>
          <w:rFonts w:hint="eastAsia" w:ascii="仿宋" w:hAnsi="仿宋" w:eastAsia="仿宋" w:cs="仿宋"/>
          <w:sz w:val="32"/>
          <w:szCs w:val="32"/>
          <w:lang w:val="en-US" w:eastAsia="zh-CN" w:bidi="zh-CN"/>
        </w:rPr>
      </w:pPr>
      <w:r>
        <w:rPr>
          <w:rFonts w:hint="eastAsia" w:ascii="仿宋" w:hAnsi="仿宋" w:eastAsia="仿宋" w:cs="仿宋"/>
          <w:sz w:val="32"/>
          <w:szCs w:val="32"/>
          <w:lang w:val="en-US" w:eastAsia="zh-CN" w:bidi="zh-CN"/>
        </w:rPr>
        <w:t>氧乐果</w:t>
      </w:r>
    </w:p>
    <w:p>
      <w:pPr>
        <w:spacing w:line="560" w:lineRule="exact"/>
        <w:ind w:firstLine="640" w:firstLineChars="200"/>
        <w:jc w:val="left"/>
        <w:rPr>
          <w:rFonts w:hint="eastAsia" w:ascii="仿宋" w:hAnsi="仿宋" w:eastAsia="仿宋" w:cs="仿宋"/>
          <w:sz w:val="32"/>
          <w:szCs w:val="32"/>
          <w:lang w:val="en-US" w:eastAsia="zh-CN" w:bidi="zh-CN"/>
        </w:rPr>
      </w:pPr>
      <w:r>
        <w:rPr>
          <w:rFonts w:hint="eastAsia" w:ascii="仿宋" w:hAnsi="仿宋" w:eastAsia="仿宋" w:cs="仿宋"/>
          <w:sz w:val="32"/>
          <w:szCs w:val="32"/>
          <w:lang w:val="zh-CN" w:eastAsia="zh-CN" w:bidi="zh-CN"/>
        </w:rPr>
        <w:t>氧乐果是一种内吸杀虫作用,可以被植株的茎、叶吸进植株体内 ,因此很容易造成农药残留,在蔬菜生产过程中,“氧化乐果”属于违禁使用农药，抽检产品不合格可能是农户为了节省成本目的而违规使用在农产品上导致。</w:t>
      </w:r>
    </w:p>
    <w:p>
      <w:pPr>
        <w:numPr>
          <w:ilvl w:val="0"/>
          <w:numId w:val="2"/>
        </w:numPr>
        <w:spacing w:line="560" w:lineRule="exact"/>
        <w:ind w:left="0" w:leftChars="0" w:firstLine="640" w:firstLineChars="200"/>
        <w:jc w:val="left"/>
        <w:rPr>
          <w:rFonts w:hint="eastAsia" w:ascii="仿宋" w:hAnsi="仿宋" w:eastAsia="仿宋" w:cs="仿宋"/>
          <w:sz w:val="32"/>
          <w:szCs w:val="32"/>
          <w:lang w:val="en-US" w:eastAsia="zh-CN" w:bidi="zh-CN"/>
        </w:rPr>
      </w:pPr>
      <w:r>
        <w:rPr>
          <w:rFonts w:hint="eastAsia" w:ascii="仿宋" w:hAnsi="仿宋" w:eastAsia="仿宋" w:cs="仿宋"/>
          <w:sz w:val="32"/>
          <w:szCs w:val="32"/>
          <w:lang w:val="en-US" w:eastAsia="zh-CN" w:bidi="zh-CN"/>
        </w:rPr>
        <w:t>氧氟沙星</w:t>
      </w:r>
    </w:p>
    <w:p>
      <w:pPr>
        <w:spacing w:line="560" w:lineRule="exact"/>
        <w:ind w:firstLine="640" w:firstLineChars="200"/>
        <w:jc w:val="left"/>
        <w:rPr>
          <w:rFonts w:hint="eastAsia" w:ascii="仿宋" w:hAnsi="仿宋" w:eastAsia="仿宋" w:cs="仿宋"/>
          <w:sz w:val="32"/>
          <w:szCs w:val="32"/>
          <w:lang w:val="en-US" w:eastAsia="zh-CN" w:bidi="zh-CN"/>
        </w:rPr>
      </w:pPr>
      <w:r>
        <w:rPr>
          <w:rFonts w:hint="eastAsia" w:ascii="仿宋" w:hAnsi="仿宋" w:eastAsia="仿宋" w:cs="仿宋"/>
          <w:sz w:val="32"/>
          <w:szCs w:val="32"/>
          <w:lang w:val="zh-CN" w:eastAsia="zh-CN" w:bidi="zh-CN"/>
        </w:rPr>
        <w:t>氧氟沙星属于喹诺酮类抗生素，具有广谱抗菌作用，抗菌作用强。原农业部公告第2292号中规定，在食品动物中停止使用洛美沙星、培氟沙星、氧氟沙星、诺氟沙星4种兽药（不得检出）。样品中不合格的原因可能是养殖者在养殖或运输途中为减少或防止动物受寄生虫影响导致死亡的现象，违规使用了氧氟沙星作为杀菌剂。</w:t>
      </w:r>
      <w:bookmarkStart w:id="0" w:name="_GoBack"/>
      <w:bookmarkEnd w:id="0"/>
    </w:p>
    <w:p>
      <w:pPr>
        <w:numPr>
          <w:ilvl w:val="0"/>
          <w:numId w:val="2"/>
        </w:numPr>
        <w:spacing w:line="560" w:lineRule="exact"/>
        <w:ind w:left="0" w:leftChars="0" w:firstLine="640" w:firstLineChars="200"/>
        <w:jc w:val="left"/>
        <w:rPr>
          <w:rFonts w:hint="eastAsia" w:ascii="仿宋" w:hAnsi="仿宋" w:eastAsia="仿宋" w:cs="仿宋"/>
          <w:sz w:val="32"/>
          <w:szCs w:val="32"/>
          <w:lang w:val="en-US" w:eastAsia="zh-CN" w:bidi="zh-CN"/>
        </w:rPr>
      </w:pPr>
      <w:r>
        <w:rPr>
          <w:rFonts w:hint="eastAsia" w:ascii="仿宋" w:hAnsi="仿宋" w:eastAsia="仿宋" w:cs="仿宋"/>
          <w:sz w:val="32"/>
          <w:szCs w:val="32"/>
          <w:lang w:val="en-US" w:eastAsia="zh-CN" w:bidi="zh-CN"/>
        </w:rPr>
        <w:t>乙基麦芽酚</w:t>
      </w:r>
    </w:p>
    <w:p>
      <w:pPr>
        <w:spacing w:line="560" w:lineRule="exact"/>
        <w:ind w:firstLine="640" w:firstLineChars="200"/>
        <w:jc w:val="left"/>
        <w:rPr>
          <w:rFonts w:hint="default" w:ascii="仿宋" w:hAnsi="仿宋" w:eastAsia="仿宋" w:cs="仿宋"/>
          <w:sz w:val="32"/>
          <w:szCs w:val="32"/>
          <w:lang w:val="en-US" w:eastAsia="zh-CN" w:bidi="zh-CN"/>
        </w:rPr>
      </w:pPr>
      <w:r>
        <w:rPr>
          <w:rFonts w:hint="eastAsia" w:ascii="仿宋" w:hAnsi="仿宋" w:eastAsia="仿宋" w:cs="仿宋"/>
          <w:sz w:val="32"/>
          <w:szCs w:val="32"/>
          <w:lang w:val="en-US" w:eastAsia="zh-CN" w:bidi="zh-CN"/>
        </w:rPr>
        <w:t>乙基麦芽酚是一种香味增效剂，对食品的香味改善和增强具有显著效果，且能延长食品的储存期。《食品安全国家标准 食品添加剂使用标准》（GB 2760-2014）中规定：植物油脂、动物油脂（包括猪油、牛油、鱼油和其他动物脂肪等）不得使用乙基麦芽酚。</w:t>
      </w:r>
    </w:p>
    <w:p>
      <w:pPr>
        <w:numPr>
          <w:ilvl w:val="0"/>
          <w:numId w:val="0"/>
        </w:numPr>
        <w:spacing w:line="600" w:lineRule="exact"/>
        <w:ind w:leftChars="-300"/>
        <w:rPr>
          <w:rFonts w:hint="default"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69D473"/>
    <w:multiLevelType w:val="singleLevel"/>
    <w:tmpl w:val="8769D473"/>
    <w:lvl w:ilvl="0" w:tentative="0">
      <w:start w:val="4"/>
      <w:numFmt w:val="decimal"/>
      <w:suff w:val="nothing"/>
      <w:lvlText w:val="%1-"/>
      <w:lvlJc w:val="left"/>
    </w:lvl>
  </w:abstractNum>
  <w:abstractNum w:abstractNumId="1">
    <w:nsid w:val="AF280844"/>
    <w:multiLevelType w:val="singleLevel"/>
    <w:tmpl w:val="AF280844"/>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B6EFA"/>
    <w:rsid w:val="004B6EFA"/>
    <w:rsid w:val="00820F31"/>
    <w:rsid w:val="00824259"/>
    <w:rsid w:val="009A15EF"/>
    <w:rsid w:val="00B67A85"/>
    <w:rsid w:val="00D57D1B"/>
    <w:rsid w:val="00F421C8"/>
    <w:rsid w:val="02276CB5"/>
    <w:rsid w:val="03F06EAD"/>
    <w:rsid w:val="0559036A"/>
    <w:rsid w:val="090604A3"/>
    <w:rsid w:val="0BFE7616"/>
    <w:rsid w:val="0C5A4767"/>
    <w:rsid w:val="0D2B2324"/>
    <w:rsid w:val="104B7313"/>
    <w:rsid w:val="145F0D0D"/>
    <w:rsid w:val="15886BAB"/>
    <w:rsid w:val="15C74A14"/>
    <w:rsid w:val="16627B1C"/>
    <w:rsid w:val="17EF416E"/>
    <w:rsid w:val="18451B3F"/>
    <w:rsid w:val="195B4923"/>
    <w:rsid w:val="19FE57A3"/>
    <w:rsid w:val="1DF10696"/>
    <w:rsid w:val="1EFF100B"/>
    <w:rsid w:val="22550787"/>
    <w:rsid w:val="250C0CEE"/>
    <w:rsid w:val="25137D68"/>
    <w:rsid w:val="28497E52"/>
    <w:rsid w:val="284A5BF2"/>
    <w:rsid w:val="29330485"/>
    <w:rsid w:val="29BD1C98"/>
    <w:rsid w:val="29DF02C5"/>
    <w:rsid w:val="2B461F65"/>
    <w:rsid w:val="2C516F87"/>
    <w:rsid w:val="2D66027E"/>
    <w:rsid w:val="2FD10C3E"/>
    <w:rsid w:val="31B628A2"/>
    <w:rsid w:val="31C6061F"/>
    <w:rsid w:val="32DD00BD"/>
    <w:rsid w:val="379573AA"/>
    <w:rsid w:val="386B654E"/>
    <w:rsid w:val="38730D88"/>
    <w:rsid w:val="391352A9"/>
    <w:rsid w:val="3ADD2861"/>
    <w:rsid w:val="3AFA4815"/>
    <w:rsid w:val="3D297853"/>
    <w:rsid w:val="428D21EB"/>
    <w:rsid w:val="4452544F"/>
    <w:rsid w:val="46B032DF"/>
    <w:rsid w:val="4B911789"/>
    <w:rsid w:val="4D4A1531"/>
    <w:rsid w:val="4D94490D"/>
    <w:rsid w:val="4DAD2FA1"/>
    <w:rsid w:val="4E9C06D0"/>
    <w:rsid w:val="50366AA2"/>
    <w:rsid w:val="506275A7"/>
    <w:rsid w:val="506E7817"/>
    <w:rsid w:val="520E4E41"/>
    <w:rsid w:val="54262A1F"/>
    <w:rsid w:val="55A8775B"/>
    <w:rsid w:val="57B25A53"/>
    <w:rsid w:val="58D27289"/>
    <w:rsid w:val="58EF2A7D"/>
    <w:rsid w:val="5A667DB9"/>
    <w:rsid w:val="5C77642F"/>
    <w:rsid w:val="5CED668D"/>
    <w:rsid w:val="5F1D6839"/>
    <w:rsid w:val="60CF2535"/>
    <w:rsid w:val="68932D56"/>
    <w:rsid w:val="697C6D68"/>
    <w:rsid w:val="6B4C4B7D"/>
    <w:rsid w:val="6EE37CB6"/>
    <w:rsid w:val="6EF66C78"/>
    <w:rsid w:val="6FF2151A"/>
    <w:rsid w:val="71894BD7"/>
    <w:rsid w:val="726258D5"/>
    <w:rsid w:val="73B232F5"/>
    <w:rsid w:val="74EF7DD6"/>
    <w:rsid w:val="757B108B"/>
    <w:rsid w:val="757B7956"/>
    <w:rsid w:val="77B41AFA"/>
    <w:rsid w:val="77DD7782"/>
    <w:rsid w:val="79871452"/>
    <w:rsid w:val="7A290324"/>
    <w:rsid w:val="7B6A0503"/>
    <w:rsid w:val="7B802328"/>
    <w:rsid w:val="7BCD75A4"/>
    <w:rsid w:val="7D212BFB"/>
    <w:rsid w:val="7D3D5F5A"/>
    <w:rsid w:val="7E3539E2"/>
    <w:rsid w:val="7ED61958"/>
    <w:rsid w:val="7F023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link w:val="10"/>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标题 3 Char"/>
    <w:basedOn w:val="7"/>
    <w:link w:val="2"/>
    <w:qFormat/>
    <w:uiPriority w:val="9"/>
    <w:rPr>
      <w:rFonts w:ascii="宋体" w:hAnsi="宋体" w:eastAsia="宋体" w:cs="宋体"/>
      <w:b/>
      <w:bCs/>
      <w:kern w:val="0"/>
      <w:sz w:val="27"/>
      <w:szCs w:val="27"/>
    </w:rPr>
  </w:style>
  <w:style w:type="paragraph" w:customStyle="1" w:styleId="11">
    <w:name w:val="_Style 1"/>
    <w:basedOn w:val="1"/>
    <w:qFormat/>
    <w:uiPriority w:val="34"/>
    <w:pPr>
      <w:ind w:firstLine="420" w:firstLineChars="200"/>
    </w:pPr>
  </w:style>
  <w:style w:type="paragraph" w:customStyle="1" w:styleId="12">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Company>
  <Pages>1</Pages>
  <Words>25</Words>
  <Characters>147</Characters>
  <Lines>1</Lines>
  <Paragraphs>1</Paragraphs>
  <TotalTime>35</TotalTime>
  <ScaleCrop>false</ScaleCrop>
  <LinksUpToDate>false</LinksUpToDate>
  <CharactersWithSpaces>171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2019-04-08T02:10:00Z</dcterms:created>
  <dc:creator>黎佩珊</dc:creator>
  <cp:lastModifiedBy>沁</cp:lastModifiedBy>
  <dcterms:modified xsi:type="dcterms:W3CDTF">2020-08-26T08:17:49Z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