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9" w:rsidRPr="00287379" w:rsidRDefault="00287379" w:rsidP="00591BA2">
      <w:pPr>
        <w:spacing w:line="590" w:lineRule="exact"/>
        <w:jc w:val="left"/>
        <w:rPr>
          <w:rFonts w:ascii="黑体" w:eastAsia="黑体" w:hAnsi="黑体" w:cs="黑体"/>
          <w:color w:val="000000"/>
        </w:rPr>
      </w:pPr>
      <w:r w:rsidRPr="00287379">
        <w:rPr>
          <w:rFonts w:ascii="黑体" w:eastAsia="黑体" w:hAnsi="黑体" w:cs="黑体" w:hint="eastAsia"/>
          <w:color w:val="000000"/>
        </w:rPr>
        <w:t>附件</w:t>
      </w:r>
      <w:bookmarkStart w:id="0" w:name="_GoBack"/>
      <w:bookmarkEnd w:id="0"/>
    </w:p>
    <w:p w:rsidR="00D307AE" w:rsidRDefault="006B544C">
      <w:pPr>
        <w:spacing w:line="590" w:lineRule="exact"/>
        <w:jc w:val="center"/>
        <w:rPr>
          <w:rFonts w:ascii="黑体" w:eastAsia="黑体" w:hAnsi="黑体" w:cs="黑体"/>
          <w:color w:val="000000"/>
          <w:sz w:val="36"/>
          <w:szCs w:val="36"/>
        </w:rPr>
      </w:pPr>
      <w:r w:rsidRPr="00661BBE">
        <w:rPr>
          <w:rFonts w:ascii="黑体" w:eastAsia="黑体" w:hAnsi="黑体" w:cs="黑体" w:hint="eastAsia"/>
          <w:color w:val="000000"/>
          <w:sz w:val="36"/>
          <w:szCs w:val="36"/>
        </w:rPr>
        <w:t>河北</w:t>
      </w:r>
      <w:r w:rsidR="007D7810" w:rsidRPr="00661BBE">
        <w:rPr>
          <w:rFonts w:ascii="黑体" w:eastAsia="黑体" w:hAnsi="黑体" w:cs="黑体" w:hint="eastAsia"/>
          <w:color w:val="000000"/>
          <w:sz w:val="36"/>
          <w:szCs w:val="36"/>
        </w:rPr>
        <w:t>省运动营养食品生产许可审查方案（试行）</w:t>
      </w:r>
    </w:p>
    <w:p w:rsidR="00060CB4" w:rsidRPr="00661BBE" w:rsidRDefault="00F34403">
      <w:pPr>
        <w:spacing w:line="590" w:lineRule="exact"/>
        <w:jc w:val="center"/>
        <w:rPr>
          <w:rFonts w:ascii="方正小标宋简体" w:eastAsia="方正小标宋简体" w:hAnsi="仿宋"/>
          <w:color w:val="000000"/>
          <w:sz w:val="36"/>
          <w:szCs w:val="36"/>
        </w:rPr>
      </w:pPr>
      <w:r w:rsidRPr="00661BBE">
        <w:rPr>
          <w:rFonts w:ascii="黑体" w:eastAsia="黑体" w:hAnsi="黑体" w:cs="黑体" w:hint="eastAsia"/>
          <w:color w:val="000000"/>
          <w:sz w:val="36"/>
          <w:szCs w:val="36"/>
        </w:rPr>
        <w:t>（征求意见稿）</w:t>
      </w:r>
    </w:p>
    <w:p w:rsidR="00661BBE" w:rsidRDefault="00661BBE" w:rsidP="00661BBE">
      <w:pPr>
        <w:spacing w:line="590" w:lineRule="exact"/>
        <w:ind w:firstLineChars="200" w:firstLine="626"/>
        <w:rPr>
          <w:rFonts w:asciiTheme="minorEastAsia" w:eastAsiaTheme="minorEastAsia" w:hAnsiTheme="minorEastAsia"/>
          <w:b/>
        </w:rPr>
      </w:pPr>
    </w:p>
    <w:p w:rsidR="00060CB4" w:rsidRPr="00661BBE" w:rsidRDefault="007D7810" w:rsidP="00661BBE">
      <w:pPr>
        <w:spacing w:line="590" w:lineRule="exact"/>
        <w:ind w:firstLineChars="200" w:firstLine="626"/>
        <w:rPr>
          <w:rFonts w:asciiTheme="minorEastAsia" w:eastAsiaTheme="minorEastAsia" w:hAnsiTheme="minorEastAsia"/>
          <w:b/>
        </w:rPr>
      </w:pPr>
      <w:r w:rsidRPr="00661BBE">
        <w:rPr>
          <w:rFonts w:asciiTheme="minorEastAsia" w:eastAsiaTheme="minorEastAsia" w:hAnsiTheme="minorEastAsia" w:hint="eastAsia"/>
          <w:b/>
        </w:rPr>
        <w:t>一、适用范围</w:t>
      </w:r>
    </w:p>
    <w:p w:rsidR="00060CB4" w:rsidRPr="00661BBE" w:rsidRDefault="007D7810" w:rsidP="00661BBE">
      <w:pPr>
        <w:spacing w:line="590" w:lineRule="exact"/>
        <w:ind w:firstLineChars="200" w:firstLine="624"/>
        <w:rPr>
          <w:rFonts w:ascii="仿宋" w:hAnsi="仿宋"/>
        </w:rPr>
      </w:pPr>
      <w:r w:rsidRPr="00661BBE">
        <w:rPr>
          <w:rFonts w:ascii="仿宋" w:hAnsi="仿宋" w:hint="eastAsia"/>
        </w:rPr>
        <w:t>本方案中所称运动营养食品</w:t>
      </w:r>
      <w:r w:rsidR="00D307AE">
        <w:rPr>
          <w:rFonts w:ascii="仿宋" w:hAnsi="仿宋" w:hint="eastAsia"/>
        </w:rPr>
        <w:t>是</w:t>
      </w:r>
      <w:r w:rsidRPr="00661BBE">
        <w:rPr>
          <w:rFonts w:ascii="仿宋" w:hAnsi="仿宋" w:hint="eastAsia"/>
        </w:rPr>
        <w:t>指为满足运动人群（指每周参加体育锻炼</w:t>
      </w:r>
      <w:r w:rsidRPr="00661BBE">
        <w:rPr>
          <w:rFonts w:ascii="仿宋" w:hAnsi="仿宋"/>
        </w:rPr>
        <w:t>3</w:t>
      </w:r>
      <w:r w:rsidRPr="00661BBE">
        <w:rPr>
          <w:rFonts w:ascii="仿宋" w:hAnsi="仿宋" w:hint="eastAsia"/>
        </w:rPr>
        <w:t>次及以上、每次持续时间</w:t>
      </w:r>
      <w:r w:rsidRPr="00661BBE">
        <w:rPr>
          <w:rFonts w:ascii="仿宋" w:hAnsi="仿宋"/>
        </w:rPr>
        <w:t>30min</w:t>
      </w:r>
      <w:r w:rsidRPr="00661BBE">
        <w:rPr>
          <w:rFonts w:ascii="仿宋" w:hAnsi="仿宋" w:hint="eastAsia"/>
        </w:rPr>
        <w:t>及以上、每次运动强度达到中等及以上的人群）的生理代谢状态、运动能力及对某些营养成分的特殊需求而专门加工的食品。</w:t>
      </w:r>
    </w:p>
    <w:p w:rsidR="00661BBE" w:rsidRPr="00661BBE" w:rsidRDefault="00661BBE" w:rsidP="00661BBE">
      <w:pPr>
        <w:pStyle w:val="a6"/>
        <w:shd w:val="clear" w:color="auto" w:fill="FFFFFF"/>
        <w:spacing w:before="0" w:beforeAutospacing="0" w:after="0" w:afterAutospacing="0" w:line="600" w:lineRule="atLeast"/>
        <w:ind w:firstLine="645"/>
        <w:rPr>
          <w:rFonts w:ascii="仿宋" w:eastAsia="仿宋" w:hAnsi="仿宋" w:cs="Times New Roman"/>
          <w:kern w:val="2"/>
          <w:sz w:val="32"/>
          <w:szCs w:val="32"/>
        </w:rPr>
      </w:pPr>
      <w:r w:rsidRPr="00661BBE">
        <w:rPr>
          <w:rFonts w:ascii="仿宋" w:eastAsia="仿宋" w:hAnsi="仿宋" w:cs="Times New Roman" w:hint="eastAsia"/>
          <w:kern w:val="2"/>
          <w:sz w:val="32"/>
          <w:szCs w:val="32"/>
        </w:rPr>
        <w:t>运动营养食品的申证类别为特殊膳食食品，运动营养食品生产许可类别为特殊膳食食品，类别编号为3003，类别名称为其他特殊膳食食品，品种明细为运动营养食品（补充能量类、控制能量类、补充蛋白质类、速度力量类、耐力类、运动后恢复类）。品种明细应当标明产品状态（固态（粉末、块/粒状）、半固态、液态）。</w:t>
      </w:r>
    </w:p>
    <w:p w:rsidR="00661BBE" w:rsidRPr="00661BBE" w:rsidRDefault="00661BBE" w:rsidP="00661BBE">
      <w:pPr>
        <w:pStyle w:val="a6"/>
        <w:shd w:val="clear" w:color="auto" w:fill="FFFFFF"/>
        <w:spacing w:before="0" w:beforeAutospacing="0" w:after="0" w:afterAutospacing="0" w:line="600" w:lineRule="atLeast"/>
        <w:ind w:firstLine="645"/>
        <w:rPr>
          <w:rFonts w:ascii="仿宋" w:eastAsia="仿宋" w:hAnsi="仿宋" w:cs="Times New Roman"/>
          <w:kern w:val="2"/>
          <w:sz w:val="32"/>
          <w:szCs w:val="32"/>
        </w:rPr>
      </w:pPr>
      <w:r w:rsidRPr="00661BBE">
        <w:rPr>
          <w:rFonts w:ascii="仿宋" w:eastAsia="仿宋" w:hAnsi="仿宋" w:cs="Times New Roman" w:hint="eastAsia"/>
          <w:kern w:val="2"/>
          <w:sz w:val="32"/>
          <w:szCs w:val="32"/>
        </w:rPr>
        <w:t>产品执行标准为《食品安全国家标准 运动营养食品通则》（GB24154）及食品安全企业标准。</w:t>
      </w:r>
    </w:p>
    <w:p w:rsidR="00661BBE" w:rsidRPr="00661BBE" w:rsidRDefault="00661BBE" w:rsidP="00661BBE">
      <w:pPr>
        <w:pStyle w:val="a6"/>
        <w:shd w:val="clear" w:color="auto" w:fill="FFFFFF"/>
        <w:spacing w:before="0" w:beforeAutospacing="0" w:after="0" w:afterAutospacing="0" w:line="600" w:lineRule="atLeast"/>
        <w:ind w:firstLine="645"/>
        <w:rPr>
          <w:rFonts w:ascii="仿宋" w:eastAsia="仿宋" w:hAnsi="仿宋" w:cs="Times New Roman"/>
          <w:kern w:val="2"/>
          <w:sz w:val="32"/>
          <w:szCs w:val="32"/>
        </w:rPr>
      </w:pPr>
      <w:r w:rsidRPr="00661BBE">
        <w:rPr>
          <w:rFonts w:ascii="仿宋" w:eastAsia="仿宋" w:hAnsi="仿宋" w:cs="Times New Roman" w:hint="eastAsia"/>
          <w:kern w:val="2"/>
          <w:sz w:val="32"/>
          <w:szCs w:val="32"/>
        </w:rPr>
        <w:t>本</w:t>
      </w:r>
      <w:r w:rsidR="002F1A1F">
        <w:rPr>
          <w:rFonts w:ascii="仿宋" w:eastAsia="仿宋" w:hAnsi="仿宋" w:cs="Times New Roman" w:hint="eastAsia"/>
          <w:kern w:val="2"/>
          <w:sz w:val="32"/>
          <w:szCs w:val="32"/>
        </w:rPr>
        <w:t>方案</w:t>
      </w:r>
      <w:r w:rsidRPr="00661BBE">
        <w:rPr>
          <w:rFonts w:ascii="仿宋" w:eastAsia="仿宋" w:hAnsi="仿宋" w:cs="Times New Roman" w:hint="eastAsia"/>
          <w:kern w:val="2"/>
          <w:sz w:val="32"/>
          <w:szCs w:val="32"/>
        </w:rPr>
        <w:t>应当与《食品生产许可审查通则》结合使用，仅适用于</w:t>
      </w:r>
      <w:r w:rsidR="002F1A1F">
        <w:rPr>
          <w:rFonts w:ascii="仿宋" w:eastAsia="仿宋" w:hAnsi="仿宋" w:cs="Times New Roman" w:hint="eastAsia"/>
          <w:kern w:val="2"/>
          <w:sz w:val="32"/>
          <w:szCs w:val="32"/>
        </w:rPr>
        <w:t>河北</w:t>
      </w:r>
      <w:r w:rsidRPr="00661BBE">
        <w:rPr>
          <w:rFonts w:ascii="仿宋" w:eastAsia="仿宋" w:hAnsi="仿宋" w:cs="Times New Roman" w:hint="eastAsia"/>
          <w:kern w:val="2"/>
          <w:sz w:val="32"/>
          <w:szCs w:val="32"/>
        </w:rPr>
        <w:t>省运动营养食品生产许可审查工作。</w:t>
      </w:r>
    </w:p>
    <w:p w:rsidR="00661BBE" w:rsidRPr="002F1A1F" w:rsidRDefault="00661BBE" w:rsidP="002F1A1F">
      <w:pPr>
        <w:spacing w:line="590" w:lineRule="exact"/>
        <w:ind w:firstLineChars="200" w:firstLine="624"/>
        <w:rPr>
          <w:rFonts w:ascii="仿宋" w:hAnsi="仿宋"/>
        </w:rPr>
      </w:pPr>
      <w:r w:rsidRPr="002F1A1F">
        <w:rPr>
          <w:rFonts w:ascii="仿宋" w:hAnsi="仿宋" w:hint="eastAsia"/>
        </w:rPr>
        <w:t>本</w:t>
      </w:r>
      <w:r w:rsidR="002F1A1F">
        <w:rPr>
          <w:rFonts w:ascii="仿宋" w:hAnsi="仿宋" w:hint="eastAsia"/>
        </w:rPr>
        <w:t>方案</w:t>
      </w:r>
      <w:r w:rsidRPr="002F1A1F">
        <w:rPr>
          <w:rFonts w:ascii="仿宋" w:hAnsi="仿宋" w:hint="eastAsia"/>
        </w:rPr>
        <w:t>中引用的文件、标准通过引用成为本</w:t>
      </w:r>
      <w:r w:rsidR="002F1A1F">
        <w:rPr>
          <w:rFonts w:ascii="仿宋" w:hAnsi="仿宋" w:hint="eastAsia"/>
        </w:rPr>
        <w:t>方案</w:t>
      </w:r>
      <w:r w:rsidRPr="002F1A1F">
        <w:rPr>
          <w:rFonts w:ascii="仿宋" w:hAnsi="仿宋" w:hint="eastAsia"/>
        </w:rPr>
        <w:t>的内容。凡是引用文件、标准，其最新版本（包括所有的修改单）适用于本</w:t>
      </w:r>
      <w:r w:rsidR="002F1A1F">
        <w:rPr>
          <w:rFonts w:ascii="仿宋" w:hAnsi="仿宋" w:hint="eastAsia"/>
        </w:rPr>
        <w:lastRenderedPageBreak/>
        <w:t>方案。</w:t>
      </w:r>
    </w:p>
    <w:p w:rsidR="00060CB4" w:rsidRPr="002F1A1F" w:rsidRDefault="007D7810" w:rsidP="002F1A1F">
      <w:pPr>
        <w:spacing w:line="590" w:lineRule="exact"/>
        <w:ind w:firstLineChars="200" w:firstLine="626"/>
        <w:rPr>
          <w:rFonts w:asciiTheme="minorEastAsia" w:eastAsiaTheme="minorEastAsia" w:hAnsiTheme="minorEastAsia"/>
          <w:b/>
        </w:rPr>
      </w:pPr>
      <w:r w:rsidRPr="002F1A1F">
        <w:rPr>
          <w:rFonts w:asciiTheme="minorEastAsia" w:eastAsiaTheme="minorEastAsia" w:hAnsiTheme="minorEastAsia" w:hint="eastAsia"/>
          <w:b/>
        </w:rPr>
        <w:t>二、生产许可条件审查</w:t>
      </w:r>
    </w:p>
    <w:p w:rsidR="00060CB4" w:rsidRPr="002F1A1F" w:rsidRDefault="007D7810" w:rsidP="002F1A1F">
      <w:pPr>
        <w:spacing w:line="590" w:lineRule="exact"/>
        <w:ind w:firstLineChars="200" w:firstLine="626"/>
        <w:rPr>
          <w:rFonts w:asciiTheme="minorEastAsia" w:eastAsiaTheme="minorEastAsia" w:hAnsiTheme="minorEastAsia"/>
          <w:b/>
        </w:rPr>
      </w:pPr>
      <w:r w:rsidRPr="002F1A1F">
        <w:rPr>
          <w:rFonts w:asciiTheme="minorEastAsia" w:eastAsiaTheme="minorEastAsia" w:hAnsiTheme="minorEastAsia" w:hint="eastAsia"/>
          <w:b/>
        </w:rPr>
        <w:t>（一）管理制度</w:t>
      </w:r>
    </w:p>
    <w:p w:rsidR="00060CB4" w:rsidRPr="002F1A1F" w:rsidRDefault="007D7810" w:rsidP="002F1A1F">
      <w:pPr>
        <w:spacing w:line="590" w:lineRule="exact"/>
        <w:ind w:firstLineChars="200" w:firstLine="624"/>
        <w:rPr>
          <w:rFonts w:ascii="仿宋" w:hAnsi="仿宋"/>
        </w:rPr>
      </w:pPr>
      <w:bookmarkStart w:id="1" w:name="_Toc21138"/>
      <w:bookmarkStart w:id="2" w:name="_Toc416939935"/>
      <w:bookmarkStart w:id="3" w:name="_Toc415228647"/>
      <w:bookmarkEnd w:id="1"/>
      <w:bookmarkEnd w:id="2"/>
      <w:r w:rsidRPr="002F1A1F">
        <w:rPr>
          <w:rFonts w:ascii="仿宋" w:hAnsi="仿宋"/>
        </w:rPr>
        <w:t>1.</w:t>
      </w:r>
      <w:r w:rsidRPr="002F1A1F">
        <w:rPr>
          <w:rFonts w:ascii="仿宋" w:hAnsi="仿宋" w:hint="eastAsia"/>
        </w:rPr>
        <w:t>进货查验记录制度</w:t>
      </w:r>
      <w:bookmarkEnd w:id="3"/>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1</w:t>
      </w:r>
      <w:r w:rsidRPr="002F1A1F">
        <w:rPr>
          <w:rFonts w:ascii="仿宋" w:hAnsi="仿宋" w:hint="eastAsia"/>
        </w:rPr>
        <w:t>）所用原料不得使用世界反兴奋剂机构禁用物质，使用既是食品又是</w:t>
      </w:r>
      <w:r w:rsidR="00D307AE">
        <w:rPr>
          <w:rFonts w:ascii="仿宋" w:hAnsi="仿宋" w:hint="eastAsia"/>
        </w:rPr>
        <w:t>中药材</w:t>
      </w:r>
      <w:r w:rsidRPr="002F1A1F">
        <w:rPr>
          <w:rFonts w:ascii="仿宋" w:hAnsi="仿宋" w:hint="eastAsia"/>
        </w:rPr>
        <w:t>的</w:t>
      </w:r>
      <w:r w:rsidR="00D307AE">
        <w:rPr>
          <w:rFonts w:ascii="仿宋" w:hAnsi="仿宋" w:hint="eastAsia"/>
        </w:rPr>
        <w:t>物质</w:t>
      </w:r>
      <w:r w:rsidRPr="002F1A1F">
        <w:rPr>
          <w:rFonts w:ascii="仿宋" w:hAnsi="仿宋" w:hint="eastAsia"/>
        </w:rPr>
        <w:t>、新食品原料的要对供应商的原料、生产环境和生产工艺可能带入的风险进行评估与控制。运动营养食品生产所需的原辅料及包材须符合相应的国家法律法规、标准及相关部门公告的要求。</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2</w:t>
      </w:r>
      <w:r w:rsidRPr="002F1A1F">
        <w:rPr>
          <w:rFonts w:ascii="仿宋" w:hAnsi="仿宋" w:hint="eastAsia"/>
        </w:rPr>
        <w:t>）制定主要原料供应商的管理制度和审核制度。对乳清蛋白、大豆蛋白、低聚糖、果糖、肽类等主要原料及食品营养强化剂供应商的审核内容至少包括：供应商的资质证明文件、质量安全标准、检验报告；供应商是生产企业的还应审核其原辅料采购控制能力、生产过程控制能力、设备设施条件、检验能力、不合格品管控能力，对主要原辅料的生产商或者供应商的质量安全管理体系进行现场评估，并形成现场质量安全审核报告。</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3</w:t>
      </w:r>
      <w:r w:rsidRPr="002F1A1F">
        <w:rPr>
          <w:rFonts w:ascii="仿宋" w:hAnsi="仿宋" w:hint="eastAsia"/>
        </w:rPr>
        <w:t>）采用进口原辅料的生产企业，应审核进口原辅料供应商、贸易商的资质证明文件、质量安全标准及每批原辅料由出入境检验检疫部门出具的相关合格证明材料。</w:t>
      </w:r>
    </w:p>
    <w:p w:rsidR="00060CB4" w:rsidRPr="002F1A1F" w:rsidRDefault="007D7810" w:rsidP="002F1A1F">
      <w:pPr>
        <w:spacing w:line="590" w:lineRule="exact"/>
        <w:ind w:firstLineChars="200" w:firstLine="624"/>
        <w:rPr>
          <w:rFonts w:ascii="仿宋" w:hAnsi="仿宋"/>
        </w:rPr>
      </w:pPr>
      <w:r w:rsidRPr="002F1A1F">
        <w:rPr>
          <w:rFonts w:ascii="仿宋" w:hAnsi="仿宋"/>
        </w:rPr>
        <w:t>2.</w:t>
      </w:r>
      <w:r w:rsidRPr="002F1A1F">
        <w:rPr>
          <w:rFonts w:ascii="仿宋" w:hAnsi="仿宋" w:hint="eastAsia"/>
        </w:rPr>
        <w:t>生产过程控制制度</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生产过程需符合相应食品类别卫生规范或生产规范的要求。</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1</w:t>
      </w:r>
      <w:r w:rsidRPr="002F1A1F">
        <w:rPr>
          <w:rFonts w:ascii="仿宋" w:hAnsi="仿宋" w:hint="eastAsia"/>
        </w:rPr>
        <w:t>）应制定清场管理制度。各生产工序在生产结束后、更</w:t>
      </w:r>
      <w:r w:rsidRPr="002F1A1F">
        <w:rPr>
          <w:rFonts w:ascii="仿宋" w:hAnsi="仿宋" w:hint="eastAsia"/>
        </w:rPr>
        <w:lastRenderedPageBreak/>
        <w:t>换品种或批次前，应对现场进行清场并进行记录。清场工作包括剩余物料的处理，中间品、成品的处理，废弃物的处理，生产用具的处理</w:t>
      </w:r>
      <w:r w:rsidRPr="002F1A1F">
        <w:rPr>
          <w:rFonts w:ascii="仿宋" w:hAnsi="仿宋"/>
        </w:rPr>
        <w:t>，</w:t>
      </w:r>
      <w:r w:rsidRPr="002F1A1F">
        <w:rPr>
          <w:rFonts w:ascii="仿宋" w:hAnsi="仿宋" w:hint="eastAsia"/>
        </w:rPr>
        <w:t>外包工序的清场。记录内容包括：工序、品名、生产批次、清场时间、检查项目及结果等，清场负责人及复查人应在记录上签名，同时对清场的结果进行物料平衡的验证。</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2</w:t>
      </w:r>
      <w:r w:rsidRPr="002F1A1F">
        <w:rPr>
          <w:rFonts w:ascii="仿宋" w:hAnsi="仿宋" w:hint="eastAsia"/>
        </w:rPr>
        <w:t>）应制定清洁管理制度。各生产工序在生产结束后、下次生产前，对车间环境、设备设施、工作服和人员进行清洁、验证并记录。记录内容包括：清洁对象、清洁方式、清洁频次、清洁验证结果等。</w:t>
      </w:r>
    </w:p>
    <w:p w:rsidR="00061C1B"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3</w:t>
      </w:r>
      <w:r w:rsidRPr="002F1A1F">
        <w:rPr>
          <w:rFonts w:ascii="仿宋" w:hAnsi="仿宋" w:hint="eastAsia"/>
        </w:rPr>
        <w:t>）应制定食品添加剂使用管理制度。</w:t>
      </w:r>
      <w:r w:rsidR="00061C1B" w:rsidRPr="002F1A1F">
        <w:rPr>
          <w:rFonts w:ascii="仿宋" w:hAnsi="仿宋" w:hint="eastAsia"/>
        </w:rPr>
        <w:t>应当制定食品添加剂使用管理制度。运动营养食品生产过程中食品添加剂的使用应当符合《食品安全国家标准 食品添加使用标准》（GB 2760）中允许使用的食品添加剂种类和添加量。</w:t>
      </w:r>
    </w:p>
    <w:p w:rsidR="00612E47" w:rsidRDefault="007D7810" w:rsidP="00612E47">
      <w:pPr>
        <w:spacing w:line="590" w:lineRule="exact"/>
        <w:ind w:firstLineChars="200" w:firstLine="624"/>
        <w:rPr>
          <w:rFonts w:ascii="仿宋" w:hAnsi="仿宋"/>
        </w:rPr>
      </w:pPr>
      <w:r w:rsidRPr="002F1A1F">
        <w:rPr>
          <w:rFonts w:ascii="仿宋" w:hAnsi="仿宋"/>
        </w:rPr>
        <w:t>3.</w:t>
      </w:r>
      <w:r w:rsidRPr="002F1A1F">
        <w:rPr>
          <w:rFonts w:ascii="仿宋" w:hAnsi="仿宋" w:hint="eastAsia"/>
        </w:rPr>
        <w:t>出厂检验记录制度</w:t>
      </w:r>
      <w:r w:rsidR="00612E47">
        <w:rPr>
          <w:rFonts w:ascii="仿宋" w:hAnsi="仿宋" w:hint="eastAsia"/>
        </w:rPr>
        <w:t>。</w:t>
      </w:r>
      <w:r w:rsidR="00612E47" w:rsidRPr="00612E47">
        <w:rPr>
          <w:rFonts w:ascii="仿宋" w:hAnsi="仿宋" w:hint="eastAsia"/>
        </w:rPr>
        <w:t>应当建立出厂检验记录制度，产品出厂检验应当依据产品执行标准规定的所有检验项目进行逐批检验。自行检验的，应当定期与具有合法资质的检验机构对出厂项目进行能力比对或验证，并符合相应的检验要求；不能自行检验的，应当委托具有合法资质的检验机构进行检验，并出具检验报告。</w:t>
      </w:r>
    </w:p>
    <w:p w:rsidR="00060CB4" w:rsidRPr="002F1A1F" w:rsidRDefault="00612E47" w:rsidP="00612E47">
      <w:pPr>
        <w:spacing w:line="590" w:lineRule="exact"/>
        <w:ind w:firstLineChars="200" w:firstLine="624"/>
        <w:rPr>
          <w:rFonts w:ascii="仿宋" w:hAnsi="仿宋"/>
        </w:rPr>
      </w:pPr>
      <w:r>
        <w:rPr>
          <w:rFonts w:ascii="仿宋" w:hAnsi="仿宋" w:hint="eastAsia"/>
        </w:rPr>
        <w:t>4.</w:t>
      </w:r>
      <w:r w:rsidR="007D7810" w:rsidRPr="002F1A1F">
        <w:rPr>
          <w:rFonts w:ascii="仿宋" w:hAnsi="仿宋"/>
        </w:rPr>
        <w:t>.</w:t>
      </w:r>
      <w:r w:rsidR="007D7810" w:rsidRPr="002F1A1F">
        <w:rPr>
          <w:rFonts w:ascii="仿宋" w:hAnsi="仿宋" w:hint="eastAsia"/>
        </w:rPr>
        <w:t>研发管理制度</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企业应建立研发机构，并配备研发人员。</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1</w:t>
      </w:r>
      <w:r w:rsidRPr="002F1A1F">
        <w:rPr>
          <w:rFonts w:ascii="仿宋" w:hAnsi="仿宋" w:hint="eastAsia"/>
        </w:rPr>
        <w:t>）研发机构应具备研发的能力并制定完善的研发制度及流程。</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lastRenderedPageBreak/>
        <w:t>（</w:t>
      </w:r>
      <w:r w:rsidRPr="002F1A1F">
        <w:rPr>
          <w:rFonts w:ascii="仿宋" w:hAnsi="仿宋"/>
        </w:rPr>
        <w:t>2</w:t>
      </w:r>
      <w:r w:rsidRPr="002F1A1F">
        <w:rPr>
          <w:rFonts w:ascii="仿宋" w:hAnsi="仿宋" w:hint="eastAsia"/>
        </w:rPr>
        <w:t>）研发机构对新产品的研发，应包括对产品合规性、生产工艺、质量安全和营养方面的综合论证，产品配方应保证运动人群的安全，满足运动营养需要。并保留完整的论证文件等资料。</w:t>
      </w:r>
    </w:p>
    <w:p w:rsidR="00061C1B" w:rsidRPr="002F1A1F" w:rsidRDefault="007D7810" w:rsidP="002F1A1F">
      <w:pPr>
        <w:spacing w:line="590" w:lineRule="exact"/>
        <w:ind w:firstLineChars="200" w:firstLine="624"/>
        <w:rPr>
          <w:rFonts w:ascii="仿宋" w:hAnsi="仿宋"/>
        </w:rPr>
      </w:pPr>
      <w:r w:rsidRPr="002F1A1F">
        <w:rPr>
          <w:rFonts w:ascii="仿宋" w:hAnsi="仿宋" w:hint="eastAsia"/>
        </w:rPr>
        <w:t>（</w:t>
      </w:r>
      <w:r w:rsidRPr="002F1A1F">
        <w:rPr>
          <w:rFonts w:ascii="仿宋" w:hAnsi="仿宋"/>
        </w:rPr>
        <w:t>3</w:t>
      </w:r>
      <w:r w:rsidRPr="002F1A1F">
        <w:rPr>
          <w:rFonts w:ascii="仿宋" w:hAnsi="仿宋" w:hint="eastAsia"/>
        </w:rPr>
        <w:t>）</w:t>
      </w:r>
      <w:r w:rsidR="00061C1B" w:rsidRPr="002F1A1F">
        <w:rPr>
          <w:rFonts w:ascii="仿宋" w:hAnsi="仿宋" w:hint="eastAsia"/>
        </w:rPr>
        <w:t>企业应当建立产品配方管理制度，对产品配方中营养素的均匀性、稳定性、安全性进行跟踪评价并提供相应评价报告。列明配方中使用的食品添加剂、食品营养强化剂使用依据和规定使用量；所使用的食品添加剂、食品营养强化剂应当符合相应产品标准及国务院卫生行政部门相关公告的规定。</w:t>
      </w:r>
    </w:p>
    <w:p w:rsidR="00060CB4" w:rsidRPr="002F1A1F" w:rsidRDefault="007D7810" w:rsidP="002F1A1F">
      <w:pPr>
        <w:spacing w:line="590" w:lineRule="exact"/>
        <w:ind w:firstLineChars="200" w:firstLine="626"/>
        <w:rPr>
          <w:rFonts w:asciiTheme="minorEastAsia" w:eastAsiaTheme="minorEastAsia" w:hAnsiTheme="minorEastAsia"/>
          <w:b/>
        </w:rPr>
      </w:pPr>
      <w:bookmarkStart w:id="4" w:name="_Toc24882"/>
      <w:bookmarkStart w:id="5" w:name="_Toc416939942"/>
      <w:bookmarkStart w:id="6" w:name="_Toc415228654"/>
      <w:bookmarkEnd w:id="4"/>
      <w:bookmarkEnd w:id="5"/>
      <w:r w:rsidRPr="002F1A1F">
        <w:rPr>
          <w:rFonts w:asciiTheme="minorEastAsia" w:eastAsiaTheme="minorEastAsia" w:hAnsiTheme="minorEastAsia" w:hint="eastAsia"/>
          <w:b/>
        </w:rPr>
        <w:t>（二）人员</w:t>
      </w:r>
      <w:bookmarkEnd w:id="6"/>
      <w:r w:rsidRPr="002F1A1F">
        <w:rPr>
          <w:rFonts w:asciiTheme="minorEastAsia" w:eastAsiaTheme="minorEastAsia" w:hAnsiTheme="minorEastAsia" w:hint="eastAsia"/>
          <w:b/>
        </w:rPr>
        <w:t>要求</w:t>
      </w:r>
    </w:p>
    <w:p w:rsidR="000822D0" w:rsidRPr="002F1A1F" w:rsidRDefault="00AD6030" w:rsidP="002F1A1F">
      <w:pPr>
        <w:spacing w:line="590" w:lineRule="exact"/>
        <w:ind w:firstLineChars="200" w:firstLine="624"/>
        <w:rPr>
          <w:rFonts w:ascii="仿宋" w:hAnsi="仿宋"/>
        </w:rPr>
      </w:pPr>
      <w:bookmarkStart w:id="7" w:name="_Toc416939945"/>
      <w:r w:rsidRPr="002F1A1F">
        <w:rPr>
          <w:rFonts w:ascii="仿宋" w:hAnsi="仿宋" w:hint="eastAsia"/>
        </w:rPr>
        <w:t>1.</w:t>
      </w:r>
      <w:r w:rsidR="000822D0" w:rsidRPr="002F1A1F">
        <w:rPr>
          <w:rFonts w:ascii="仿宋" w:hAnsi="仿宋" w:hint="eastAsia"/>
        </w:rPr>
        <w:t>食品安全管理人员、食品安全专业技术人员、检验人员、生产人员必须取得健康合格证明后方可上岗工作，每年至少进行一次健康检查。</w:t>
      </w:r>
    </w:p>
    <w:p w:rsidR="000822D0" w:rsidRPr="002F1A1F" w:rsidRDefault="00AD6030" w:rsidP="002F1A1F">
      <w:pPr>
        <w:spacing w:line="590" w:lineRule="exact"/>
        <w:ind w:firstLineChars="200" w:firstLine="624"/>
        <w:rPr>
          <w:rFonts w:ascii="仿宋" w:hAnsi="仿宋"/>
        </w:rPr>
      </w:pPr>
      <w:r w:rsidRPr="002F1A1F">
        <w:rPr>
          <w:rFonts w:ascii="仿宋" w:hAnsi="仿宋" w:hint="eastAsia"/>
        </w:rPr>
        <w:t>2.</w:t>
      </w:r>
      <w:r w:rsidR="000822D0" w:rsidRPr="002F1A1F">
        <w:rPr>
          <w:rFonts w:ascii="仿宋" w:hAnsi="仿宋" w:hint="eastAsia"/>
        </w:rPr>
        <w:t>企业应当每年制定员工培训计划，按照计划开展培训，并有相关的培训及考核记录。食品安全管理人员上岗前应当经过培训，并考核合格。</w:t>
      </w:r>
    </w:p>
    <w:p w:rsidR="000822D0" w:rsidRPr="002F1A1F" w:rsidRDefault="00AD6030" w:rsidP="002F1A1F">
      <w:pPr>
        <w:spacing w:line="590" w:lineRule="exact"/>
        <w:ind w:firstLineChars="200" w:firstLine="624"/>
        <w:rPr>
          <w:rFonts w:ascii="仿宋" w:hAnsi="仿宋"/>
        </w:rPr>
      </w:pPr>
      <w:r w:rsidRPr="002F1A1F">
        <w:rPr>
          <w:rFonts w:ascii="仿宋" w:hAnsi="仿宋" w:hint="eastAsia"/>
        </w:rPr>
        <w:t>3.</w:t>
      </w:r>
      <w:r w:rsidR="000822D0" w:rsidRPr="002F1A1F">
        <w:rPr>
          <w:rFonts w:ascii="仿宋" w:hAnsi="仿宋" w:hint="eastAsia"/>
        </w:rPr>
        <w:t>应当具备具有相关专业和经验的研发人员、检验人员、生产管理人员与技术人员。企业质量负责人和食品安全管理人员，应当有食品或相关专业本科以上学历，并具有3年以上食品工作经历。生产管理人员、技术人员应当有食品或相关专业专科以上学历，并具有3年以上相关工作经历。研发人员应当有食品、营养或相关专业本科以上学历，掌握食品工艺、营养和质量安全等相关专业知识。从事产品检测的人员应当具有食品、化学或相关</w:t>
      </w:r>
      <w:r w:rsidR="000822D0" w:rsidRPr="002F1A1F">
        <w:rPr>
          <w:rFonts w:ascii="仿宋" w:hAnsi="仿宋" w:hint="eastAsia"/>
        </w:rPr>
        <w:lastRenderedPageBreak/>
        <w:t>专业专科以上的学历，或者具有5年以上食品检测工作经历，经过专业培训，考核合格。</w:t>
      </w:r>
    </w:p>
    <w:p w:rsidR="00060CB4" w:rsidRPr="002F1A1F" w:rsidRDefault="007D7810" w:rsidP="002F1A1F">
      <w:pPr>
        <w:spacing w:line="590" w:lineRule="exact"/>
        <w:ind w:firstLineChars="200" w:firstLine="626"/>
        <w:rPr>
          <w:rFonts w:asciiTheme="minorEastAsia" w:eastAsiaTheme="minorEastAsia" w:hAnsiTheme="minorEastAsia"/>
          <w:b/>
        </w:rPr>
      </w:pPr>
      <w:r w:rsidRPr="002F1A1F">
        <w:rPr>
          <w:rFonts w:asciiTheme="minorEastAsia" w:eastAsiaTheme="minorEastAsia" w:hAnsiTheme="minorEastAsia" w:hint="eastAsia"/>
          <w:b/>
        </w:rPr>
        <w:t>（三）</w:t>
      </w:r>
      <w:bookmarkEnd w:id="7"/>
      <w:r w:rsidRPr="002F1A1F">
        <w:rPr>
          <w:rFonts w:asciiTheme="minorEastAsia" w:eastAsiaTheme="minorEastAsia" w:hAnsiTheme="minorEastAsia" w:hint="eastAsia"/>
          <w:b/>
        </w:rPr>
        <w:t>生产场所要求</w:t>
      </w:r>
    </w:p>
    <w:p w:rsidR="00060CB4" w:rsidRPr="002F1A1F" w:rsidRDefault="007D7810" w:rsidP="002F1A1F">
      <w:pPr>
        <w:spacing w:line="590" w:lineRule="exact"/>
        <w:ind w:firstLineChars="200" w:firstLine="624"/>
        <w:rPr>
          <w:rFonts w:ascii="仿宋" w:hAnsi="仿宋"/>
        </w:rPr>
      </w:pPr>
      <w:r w:rsidRPr="002F1A1F">
        <w:rPr>
          <w:rFonts w:ascii="仿宋" w:hAnsi="仿宋"/>
        </w:rPr>
        <w:t>1.</w:t>
      </w:r>
      <w:r w:rsidR="001E058A" w:rsidRPr="002F1A1F">
        <w:rPr>
          <w:rFonts w:ascii="仿宋" w:hAnsi="仿宋" w:hint="eastAsia"/>
        </w:rPr>
        <w:t xml:space="preserve"> 生产车间应当按洁净度要求划分为清洁作业区、准清洁作业区和一般作业区，运动营养食品生产车间作业区具体划分</w:t>
      </w:r>
      <w:r w:rsidRPr="002F1A1F">
        <w:rPr>
          <w:rFonts w:ascii="仿宋" w:hAnsi="仿宋" w:hint="eastAsia"/>
        </w:rPr>
        <w:t>见</w:t>
      </w:r>
      <w:r w:rsidR="002F1A1F">
        <w:rPr>
          <w:rFonts w:ascii="仿宋" w:hAnsi="仿宋" w:hint="eastAsia"/>
        </w:rPr>
        <w:t>附件1。</w:t>
      </w:r>
    </w:p>
    <w:p w:rsidR="001E058A" w:rsidRPr="002F1A1F" w:rsidRDefault="007D7810" w:rsidP="002F1A1F">
      <w:pPr>
        <w:spacing w:line="590" w:lineRule="exact"/>
        <w:ind w:firstLineChars="200" w:firstLine="624"/>
        <w:rPr>
          <w:rFonts w:ascii="仿宋" w:hAnsi="仿宋"/>
        </w:rPr>
      </w:pPr>
      <w:r w:rsidRPr="002F1A1F">
        <w:rPr>
          <w:rFonts w:ascii="仿宋" w:hAnsi="仿宋"/>
        </w:rPr>
        <w:t>2.</w:t>
      </w:r>
      <w:r w:rsidR="001E058A" w:rsidRPr="002F1A1F">
        <w:rPr>
          <w:rFonts w:ascii="仿宋" w:hAnsi="仿宋" w:hint="eastAsia"/>
        </w:rPr>
        <w:t>清洁作业区应当对空气进行过滤和净化处理，定期对清洁作业区进行空气质量检测，并对检测能力进行验证。在工艺设备安装完毕、生产车间重大改造后或停产3个月以上应当对清洁作业区的空气洁净度进行检测，符合要求后方可投入生产。清洁作业区空气洁净度要求和监测频次要求详见</w:t>
      </w:r>
      <w:r w:rsidR="002F1A1F" w:rsidRPr="002F1A1F">
        <w:rPr>
          <w:rFonts w:ascii="仿宋" w:hAnsi="仿宋" w:hint="eastAsia"/>
        </w:rPr>
        <w:t>附件2</w:t>
      </w:r>
      <w:r w:rsidR="001E058A" w:rsidRPr="002F1A1F">
        <w:rPr>
          <w:rFonts w:ascii="仿宋" w:hAnsi="仿宋" w:hint="eastAsia"/>
        </w:rPr>
        <w:t>。</w:t>
      </w:r>
    </w:p>
    <w:p w:rsidR="007E208E" w:rsidRPr="002F1A1F" w:rsidRDefault="007E208E" w:rsidP="007E208E">
      <w:pPr>
        <w:pStyle w:val="a6"/>
        <w:shd w:val="clear" w:color="auto" w:fill="FFFFFF"/>
        <w:spacing w:before="0" w:beforeAutospacing="0" w:after="0" w:afterAutospacing="0" w:line="600" w:lineRule="atLeast"/>
        <w:ind w:firstLine="480"/>
        <w:rPr>
          <w:rFonts w:asciiTheme="minorEastAsia" w:eastAsiaTheme="minorEastAsia" w:hAnsiTheme="minorEastAsia" w:cs="Times New Roman"/>
          <w:b/>
          <w:kern w:val="2"/>
          <w:sz w:val="32"/>
          <w:szCs w:val="32"/>
        </w:rPr>
      </w:pPr>
      <w:bookmarkStart w:id="8" w:name="_Toc415228661"/>
      <w:r w:rsidRPr="002F1A1F">
        <w:rPr>
          <w:rFonts w:asciiTheme="minorEastAsia" w:eastAsiaTheme="minorEastAsia" w:hAnsiTheme="minorEastAsia" w:cs="Times New Roman" w:hint="eastAsia"/>
          <w:b/>
          <w:kern w:val="2"/>
          <w:sz w:val="32"/>
          <w:szCs w:val="32"/>
        </w:rPr>
        <w:t>（四）设备设施要求</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1.</w:t>
      </w:r>
      <w:r w:rsidR="007E208E" w:rsidRPr="002F1A1F">
        <w:rPr>
          <w:rFonts w:ascii="仿宋" w:hAnsi="仿宋" w:hint="eastAsia"/>
        </w:rPr>
        <w:t>生产设备和设施应当根据实际工艺需要配备</w:t>
      </w:r>
      <w:r w:rsidRPr="002F1A1F">
        <w:rPr>
          <w:rFonts w:ascii="仿宋" w:hAnsi="仿宋" w:hint="eastAsia"/>
        </w:rPr>
        <w:t>。</w:t>
      </w:r>
    </w:p>
    <w:p w:rsidR="007E208E" w:rsidRPr="002F1A1F" w:rsidRDefault="000822D0" w:rsidP="002F1A1F">
      <w:pPr>
        <w:spacing w:line="590" w:lineRule="exact"/>
        <w:ind w:firstLineChars="200" w:firstLine="624"/>
        <w:rPr>
          <w:rFonts w:ascii="仿宋" w:hAnsi="仿宋"/>
        </w:rPr>
      </w:pPr>
      <w:r w:rsidRPr="002F1A1F">
        <w:rPr>
          <w:rFonts w:ascii="仿宋" w:hAnsi="仿宋" w:hint="eastAsia"/>
        </w:rPr>
        <w:t>（1）</w:t>
      </w:r>
      <w:r w:rsidR="007E208E" w:rsidRPr="002F1A1F">
        <w:rPr>
          <w:rFonts w:ascii="仿宋" w:hAnsi="仿宋" w:hint="eastAsia"/>
        </w:rPr>
        <w:t>固态（粉末）运动营养食品生产设备一般包括：原料处理设施、混合配料设备、焙干设备、干燥脱水设备、自动包装设备、金属检测设备、自动喷码设备等。</w:t>
      </w:r>
    </w:p>
    <w:p w:rsidR="007E208E" w:rsidRPr="002F1A1F" w:rsidRDefault="000822D0" w:rsidP="002F1A1F">
      <w:pPr>
        <w:spacing w:line="590" w:lineRule="exact"/>
        <w:ind w:firstLineChars="200" w:firstLine="624"/>
        <w:rPr>
          <w:rFonts w:ascii="仿宋" w:hAnsi="仿宋"/>
        </w:rPr>
      </w:pPr>
      <w:r w:rsidRPr="002F1A1F">
        <w:rPr>
          <w:rFonts w:ascii="仿宋" w:hAnsi="仿宋" w:hint="eastAsia"/>
        </w:rPr>
        <w:t>（2）</w:t>
      </w:r>
      <w:r w:rsidR="007E208E" w:rsidRPr="002F1A1F">
        <w:rPr>
          <w:rFonts w:ascii="仿宋" w:hAnsi="仿宋" w:hint="eastAsia"/>
        </w:rPr>
        <w:t>固态（块/粒状）运动营养食品生产设备一般包括：原料前处理设备、配料投料设备、熬煮设备、成型设备、焙烤设备、自动包装设备、金属检测设备、自动喷码设备等。</w:t>
      </w:r>
    </w:p>
    <w:p w:rsidR="007E208E" w:rsidRPr="002F1A1F" w:rsidRDefault="000822D0" w:rsidP="002F1A1F">
      <w:pPr>
        <w:spacing w:line="590" w:lineRule="exact"/>
        <w:ind w:firstLineChars="200" w:firstLine="624"/>
        <w:rPr>
          <w:rFonts w:ascii="仿宋" w:hAnsi="仿宋"/>
        </w:rPr>
      </w:pPr>
      <w:r w:rsidRPr="002F1A1F">
        <w:rPr>
          <w:rFonts w:ascii="仿宋" w:hAnsi="仿宋" w:hint="eastAsia"/>
        </w:rPr>
        <w:t>（3）</w:t>
      </w:r>
      <w:r w:rsidR="007E208E" w:rsidRPr="002F1A1F">
        <w:rPr>
          <w:rFonts w:ascii="仿宋" w:hAnsi="仿宋" w:hint="eastAsia"/>
        </w:rPr>
        <w:t>液态和半固态运动营养食品生产设备一般包括：水处理设备、配料投料设施、溶胶/煮料设备、混合调配设备、过滤澄清设备、均质设备、杀菌设备、生产设备清洗消毒设施、自动灌</w:t>
      </w:r>
      <w:r w:rsidR="007E208E" w:rsidRPr="002F1A1F">
        <w:rPr>
          <w:rFonts w:ascii="仿宋" w:hAnsi="仿宋" w:hint="eastAsia"/>
        </w:rPr>
        <w:lastRenderedPageBreak/>
        <w:t>装封盖（口）设备、自动喷码设备等。应当根据包装容器特点配备包装瓶、盖等的清洁消毒设施。</w:t>
      </w:r>
    </w:p>
    <w:p w:rsidR="007E208E" w:rsidRPr="002F1A1F" w:rsidRDefault="000822D0" w:rsidP="002F1A1F">
      <w:pPr>
        <w:spacing w:line="590" w:lineRule="exact"/>
        <w:ind w:firstLineChars="200" w:firstLine="624"/>
        <w:rPr>
          <w:rFonts w:ascii="仿宋" w:hAnsi="仿宋"/>
        </w:rPr>
      </w:pPr>
      <w:r w:rsidRPr="002F1A1F">
        <w:rPr>
          <w:rFonts w:ascii="仿宋" w:hAnsi="仿宋" w:hint="eastAsia"/>
        </w:rPr>
        <w:t>2.</w:t>
      </w:r>
      <w:r w:rsidR="007E208E" w:rsidRPr="002F1A1F">
        <w:rPr>
          <w:rFonts w:ascii="仿宋" w:hAnsi="仿宋" w:hint="eastAsia"/>
        </w:rPr>
        <w:t>与原料、半成品、成品直接接触的设备与用具，应当使用无毒、无味、抗腐蚀、不易脱落的材料制作，并应易于清洁和保养。</w:t>
      </w:r>
    </w:p>
    <w:p w:rsidR="007E208E" w:rsidRPr="002F1A1F" w:rsidRDefault="000822D0" w:rsidP="002F1A1F">
      <w:pPr>
        <w:spacing w:line="590" w:lineRule="exact"/>
        <w:ind w:firstLineChars="200" w:firstLine="624"/>
        <w:rPr>
          <w:rFonts w:ascii="仿宋" w:hAnsi="仿宋"/>
        </w:rPr>
      </w:pPr>
      <w:r w:rsidRPr="002F1A1F">
        <w:rPr>
          <w:rFonts w:ascii="仿宋" w:hAnsi="仿宋" w:hint="eastAsia"/>
        </w:rPr>
        <w:t>3.</w:t>
      </w:r>
      <w:r w:rsidR="007E208E" w:rsidRPr="002F1A1F">
        <w:rPr>
          <w:rFonts w:ascii="仿宋" w:hAnsi="仿宋" w:hint="eastAsia"/>
        </w:rPr>
        <w:t>应当根据生产需要合理设计排水设施和废水处理设施，排水流向应当由清洁程度要求高的区域流向清洁程度要求低的区域，清洁作业区排水系统入口应当安装带水封的地漏，以防止固体废弃物进入及浊气逸出，并有防止废水逆流的设计。</w:t>
      </w:r>
    </w:p>
    <w:p w:rsidR="007E208E" w:rsidRPr="002F1A1F" w:rsidRDefault="000822D0" w:rsidP="002F1A1F">
      <w:pPr>
        <w:spacing w:line="590" w:lineRule="exact"/>
        <w:ind w:firstLineChars="200" w:firstLine="624"/>
        <w:rPr>
          <w:rFonts w:ascii="仿宋" w:hAnsi="仿宋"/>
        </w:rPr>
      </w:pPr>
      <w:r w:rsidRPr="002F1A1F">
        <w:rPr>
          <w:rFonts w:ascii="仿宋" w:hAnsi="仿宋" w:hint="eastAsia"/>
        </w:rPr>
        <w:t>4.</w:t>
      </w:r>
      <w:r w:rsidR="007E208E" w:rsidRPr="002F1A1F">
        <w:rPr>
          <w:rFonts w:ascii="仿宋" w:hAnsi="仿宋" w:hint="eastAsia"/>
        </w:rPr>
        <w:t>设置专门的废弃物存放设施，生产加工过程产生的废弃物应当妥善处理，并定期对废弃物处理设施的卫生状况进行检查。</w:t>
      </w:r>
    </w:p>
    <w:p w:rsidR="007E208E" w:rsidRPr="002F1A1F" w:rsidRDefault="000822D0" w:rsidP="002F1A1F">
      <w:pPr>
        <w:spacing w:line="590" w:lineRule="exact"/>
        <w:ind w:firstLineChars="200" w:firstLine="624"/>
        <w:rPr>
          <w:rFonts w:ascii="仿宋" w:hAnsi="仿宋"/>
        </w:rPr>
      </w:pPr>
      <w:r w:rsidRPr="002F1A1F">
        <w:rPr>
          <w:rFonts w:ascii="仿宋" w:hAnsi="仿宋" w:hint="eastAsia"/>
        </w:rPr>
        <w:t>5.</w:t>
      </w:r>
      <w:r w:rsidR="007E208E" w:rsidRPr="002F1A1F">
        <w:rPr>
          <w:rFonts w:ascii="仿宋" w:hAnsi="仿宋" w:hint="eastAsia"/>
        </w:rPr>
        <w:t>出厂检验设备应当符合《食品安全国家标准 运动营养食品通则》（GB 24154）的检测要求。</w:t>
      </w:r>
    </w:p>
    <w:p w:rsidR="00060CB4" w:rsidRPr="002F1A1F" w:rsidRDefault="007D7810" w:rsidP="002F1A1F">
      <w:pPr>
        <w:spacing w:line="590" w:lineRule="exact"/>
        <w:ind w:firstLineChars="200" w:firstLine="626"/>
        <w:rPr>
          <w:rFonts w:asciiTheme="minorEastAsia" w:eastAsiaTheme="minorEastAsia" w:hAnsiTheme="minorEastAsia"/>
          <w:b/>
        </w:rPr>
      </w:pPr>
      <w:r w:rsidRPr="002F1A1F">
        <w:rPr>
          <w:rFonts w:asciiTheme="minorEastAsia" w:eastAsiaTheme="minorEastAsia" w:hAnsiTheme="minorEastAsia" w:hint="eastAsia"/>
          <w:b/>
        </w:rPr>
        <w:t>（</w:t>
      </w:r>
      <w:r w:rsidR="000822D0" w:rsidRPr="002F1A1F">
        <w:rPr>
          <w:rFonts w:asciiTheme="minorEastAsia" w:eastAsiaTheme="minorEastAsia" w:hAnsiTheme="minorEastAsia" w:hint="eastAsia"/>
          <w:b/>
        </w:rPr>
        <w:t>五</w:t>
      </w:r>
      <w:r w:rsidRPr="002F1A1F">
        <w:rPr>
          <w:rFonts w:asciiTheme="minorEastAsia" w:eastAsiaTheme="minorEastAsia" w:hAnsiTheme="minorEastAsia" w:hint="eastAsia"/>
          <w:b/>
        </w:rPr>
        <w:t>）设备布局与工艺流程</w:t>
      </w:r>
      <w:bookmarkEnd w:id="8"/>
    </w:p>
    <w:p w:rsidR="000822D0" w:rsidRPr="002F1A1F" w:rsidRDefault="000822D0" w:rsidP="002F1A1F">
      <w:pPr>
        <w:spacing w:line="590" w:lineRule="exact"/>
        <w:ind w:firstLineChars="200" w:firstLine="624"/>
        <w:rPr>
          <w:rFonts w:ascii="仿宋" w:hAnsi="仿宋"/>
        </w:rPr>
      </w:pPr>
      <w:bookmarkStart w:id="9" w:name="_Toc26740"/>
      <w:bookmarkStart w:id="10" w:name="_Toc416939966"/>
      <w:bookmarkStart w:id="11" w:name="_Toc415228681"/>
      <w:bookmarkEnd w:id="9"/>
      <w:bookmarkEnd w:id="10"/>
      <w:r w:rsidRPr="002F1A1F">
        <w:rPr>
          <w:rFonts w:ascii="仿宋" w:hAnsi="仿宋" w:hint="eastAsia"/>
        </w:rPr>
        <w:t>1.生产设备的布局应当与产品工艺流程相符，避免交叉污染。</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2. 运动营养食品的基本工艺流程：</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（1）固态粉类运动营养食品包括湿法工艺和干法工艺。湿法工艺流程一般包括：原料验收、配料和调配、杀菌（浓缩）、脱水干燥、冷却、成型、包装。干法工艺一般包括：原料验收、备料、混料、包装。</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（2）固态块状、粒状运动营养食品生产工艺流程一般包括：原辅料验收、前处理、配料、混料、熟制、成型、干燥、冷却、</w:t>
      </w:r>
      <w:r w:rsidRPr="002F1A1F">
        <w:rPr>
          <w:rFonts w:ascii="仿宋" w:hAnsi="仿宋" w:hint="eastAsia"/>
        </w:rPr>
        <w:lastRenderedPageBreak/>
        <w:t>包装。</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（3）液态和半固态运动营养食品生产工艺流程一般包括：原料预处理、配料、调配（或不调配）、溶胶/煮料、均质（或不均质）、杀菌、过滤澄清、灌装封盖（口）、后杀菌或不杀菌、灯检（或自动监测）等。</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3.运动营养食品生产应当通过危害分析方法明确生产过程中的食品安全关键环节，进行有效监控并记录各项控制指标。</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（1）配料调配工序控制。应当监控并记录投料种类、数量以及投料顺序；原辅料投入输送系统应当有适宜过滤除杂措施；根据生产工艺要求，进行搅拌、加热、保温等操作的，应当监控和记录相关工艺参数。</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（2）杀菌工序控制。应当严格监控影响杀菌效果的工艺参数（如杀菌温度、时间等）并记录，对杀菌效果进行监控并记录。</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（3）成型包装控制。应当通过筛网、磁栅或X射线检测器等进行异物控制，并配备剔除设备，保证包装后的产品不含金属和其他异物。</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（4）灌装封盖（口）工序控制。应当控制灌装温度及灌装量；封盖（口）应当确保产品密封。灌装封盖（口）后应当对产品的外观、灌装量、容器状况进行检查。</w:t>
      </w:r>
    </w:p>
    <w:p w:rsidR="000822D0" w:rsidRPr="002F1A1F" w:rsidRDefault="000822D0" w:rsidP="002F1A1F">
      <w:pPr>
        <w:spacing w:line="590" w:lineRule="exact"/>
        <w:ind w:firstLineChars="200" w:firstLine="624"/>
        <w:rPr>
          <w:rFonts w:ascii="仿宋" w:hAnsi="仿宋"/>
        </w:rPr>
      </w:pPr>
      <w:r w:rsidRPr="002F1A1F">
        <w:rPr>
          <w:rFonts w:ascii="仿宋" w:hAnsi="仿宋" w:hint="eastAsia"/>
        </w:rPr>
        <w:t>（5）水处理工序控制。应当规定水处理过滤装置的清洗更换要求，制定水处理工艺监测指标并记录。</w:t>
      </w:r>
    </w:p>
    <w:p w:rsidR="00060CB4" w:rsidRPr="002F1A1F" w:rsidRDefault="007D7810" w:rsidP="002F1A1F">
      <w:pPr>
        <w:spacing w:line="590" w:lineRule="exact"/>
        <w:ind w:firstLineChars="200" w:firstLine="626"/>
        <w:rPr>
          <w:rFonts w:asciiTheme="minorEastAsia" w:eastAsiaTheme="minorEastAsia" w:hAnsiTheme="minorEastAsia"/>
          <w:b/>
        </w:rPr>
      </w:pPr>
      <w:r w:rsidRPr="002F1A1F">
        <w:rPr>
          <w:rFonts w:asciiTheme="minorEastAsia" w:eastAsiaTheme="minorEastAsia" w:hAnsiTheme="minorEastAsia" w:hint="eastAsia"/>
          <w:b/>
        </w:rPr>
        <w:t>三、</w:t>
      </w:r>
      <w:bookmarkEnd w:id="11"/>
      <w:r w:rsidRPr="002F1A1F">
        <w:rPr>
          <w:rFonts w:asciiTheme="minorEastAsia" w:eastAsiaTheme="minorEastAsia" w:hAnsiTheme="minorEastAsia" w:hint="eastAsia"/>
          <w:b/>
        </w:rPr>
        <w:t>试制产品检验</w:t>
      </w:r>
    </w:p>
    <w:p w:rsidR="00060CB4" w:rsidRPr="002F1A1F" w:rsidRDefault="007D7810" w:rsidP="002F1A1F">
      <w:pPr>
        <w:spacing w:line="590" w:lineRule="exact"/>
        <w:ind w:firstLineChars="200" w:firstLine="624"/>
        <w:rPr>
          <w:rFonts w:ascii="仿宋" w:hAnsi="仿宋"/>
        </w:rPr>
      </w:pPr>
      <w:r w:rsidRPr="002F1A1F">
        <w:rPr>
          <w:rFonts w:ascii="仿宋" w:hAnsi="仿宋" w:hint="eastAsia"/>
        </w:rPr>
        <w:lastRenderedPageBreak/>
        <w:t>企业所申报运动营养食品的产品，提供试制食品的检验合格报告，检验项目应符合《食品安全国家标准运动营养食品通则》（</w:t>
      </w:r>
      <w:r w:rsidRPr="002F1A1F">
        <w:rPr>
          <w:rFonts w:ascii="仿宋" w:hAnsi="仿宋"/>
        </w:rPr>
        <w:t>GB 24154</w:t>
      </w:r>
      <w:r w:rsidRPr="002F1A1F">
        <w:rPr>
          <w:rFonts w:ascii="仿宋" w:hAnsi="仿宋" w:hint="eastAsia"/>
        </w:rPr>
        <w:t>）标准以及企业标准、法律法规及相关部门公告规定的全部项目。</w:t>
      </w:r>
    </w:p>
    <w:p w:rsidR="00060CB4" w:rsidRPr="002F1A1F" w:rsidRDefault="007D7810" w:rsidP="002F1A1F">
      <w:pPr>
        <w:spacing w:line="590" w:lineRule="exact"/>
        <w:ind w:firstLineChars="200" w:firstLine="626"/>
        <w:rPr>
          <w:rFonts w:asciiTheme="minorEastAsia" w:eastAsiaTheme="minorEastAsia" w:hAnsiTheme="minorEastAsia"/>
          <w:b/>
        </w:rPr>
      </w:pPr>
      <w:r w:rsidRPr="002F1A1F">
        <w:rPr>
          <w:rFonts w:asciiTheme="minorEastAsia" w:eastAsiaTheme="minorEastAsia" w:hAnsiTheme="minorEastAsia" w:hint="eastAsia"/>
          <w:b/>
        </w:rPr>
        <w:t>四、其他</w:t>
      </w:r>
    </w:p>
    <w:p w:rsidR="00612E47" w:rsidRPr="002F1A1F" w:rsidRDefault="00612E47" w:rsidP="00612E47">
      <w:pPr>
        <w:spacing w:line="590" w:lineRule="exact"/>
        <w:ind w:firstLineChars="200" w:firstLine="624"/>
        <w:rPr>
          <w:rFonts w:ascii="仿宋" w:hAnsi="仿宋"/>
        </w:rPr>
      </w:pPr>
      <w:r>
        <w:rPr>
          <w:rFonts w:ascii="仿宋" w:hAnsi="仿宋" w:hint="eastAsia"/>
        </w:rPr>
        <w:t>1</w:t>
      </w:r>
      <w:r w:rsidRPr="002F1A1F">
        <w:rPr>
          <w:rFonts w:ascii="仿宋" w:hAnsi="仿宋" w:hint="eastAsia"/>
        </w:rPr>
        <w:t>.自查制度</w:t>
      </w:r>
      <w:r>
        <w:rPr>
          <w:rFonts w:ascii="仿宋" w:hAnsi="仿宋" w:hint="eastAsia"/>
        </w:rPr>
        <w:t>。</w:t>
      </w:r>
      <w:r w:rsidRPr="002F1A1F">
        <w:rPr>
          <w:rFonts w:ascii="仿宋" w:hAnsi="仿宋" w:hint="eastAsia"/>
        </w:rPr>
        <w:t>企业应建立自查制度，定期对质量安全管理体系的运行情况进行自查，保证其有效运行。质量安全管理体系的自查内容至少包括：企业资质、产品变化情况；采购进货查验落实情况；生产过程控制情况；出厂检验落实情况；不合格品管理情况；研发管理情况；标签标注符合性情况；信息化追溯系统建立情况；投诉举报处理情况；食品安全隐患排查及食品安全事故处置情况。</w:t>
      </w:r>
    </w:p>
    <w:p w:rsidR="00060CB4" w:rsidRPr="002F1A1F" w:rsidRDefault="00612E47" w:rsidP="002F1A1F">
      <w:pPr>
        <w:spacing w:line="590" w:lineRule="exact"/>
        <w:ind w:firstLineChars="200" w:firstLine="624"/>
        <w:rPr>
          <w:rFonts w:ascii="仿宋" w:hAnsi="仿宋"/>
        </w:rPr>
      </w:pPr>
      <w:r>
        <w:rPr>
          <w:rFonts w:ascii="仿宋" w:hAnsi="仿宋" w:hint="eastAsia"/>
        </w:rPr>
        <w:t>2.</w:t>
      </w:r>
      <w:r w:rsidR="007D7810" w:rsidRPr="002F1A1F">
        <w:rPr>
          <w:rFonts w:ascii="仿宋" w:hAnsi="仿宋" w:hint="eastAsia"/>
        </w:rPr>
        <w:t>企业应提交标签符合性的承诺。运动营养食品的标签应符合《食品安全国家标准预包装特殊膳食用食品标签》（</w:t>
      </w:r>
      <w:r w:rsidR="007D7810" w:rsidRPr="002F1A1F">
        <w:rPr>
          <w:rFonts w:ascii="仿宋" w:hAnsi="仿宋"/>
        </w:rPr>
        <w:t>GB13432</w:t>
      </w:r>
      <w:r w:rsidR="007D7810" w:rsidRPr="002F1A1F">
        <w:rPr>
          <w:rFonts w:ascii="仿宋" w:hAnsi="仿宋" w:hint="eastAsia"/>
        </w:rPr>
        <w:t>）的规定。同时标签中应在主要展示面标示“运动营养食品”及所属分类，并在标签中注明食品添加剂使用参照相同或相近的类别名称。如果有不适宜人群，应在标签中标识；对于添加肌酸的产品应在标签中标示“孕妇、哺乳期妇女、儿童及婴幼儿不适宜食用”。运动营养食品的标签不能对产品做任何功能声称，能量和营养成分的含量及功能声称应符合《食品安全国家标准预包装特殊膳食用食品标签》（</w:t>
      </w:r>
      <w:r w:rsidR="007D7810" w:rsidRPr="002F1A1F">
        <w:rPr>
          <w:rFonts w:ascii="仿宋" w:hAnsi="仿宋"/>
        </w:rPr>
        <w:t>GB13432</w:t>
      </w:r>
      <w:r w:rsidR="007D7810" w:rsidRPr="002F1A1F">
        <w:rPr>
          <w:rFonts w:ascii="仿宋" w:hAnsi="仿宋" w:hint="eastAsia"/>
        </w:rPr>
        <w:t>）的规定。</w:t>
      </w:r>
    </w:p>
    <w:p w:rsidR="0056671C" w:rsidRDefault="0056671C" w:rsidP="002F1A1F">
      <w:pPr>
        <w:widowControl/>
        <w:shd w:val="clear" w:color="auto" w:fill="FFFFFF"/>
        <w:jc w:val="left"/>
        <w:rPr>
          <w:rFonts w:ascii="黑体" w:eastAsia="黑体" w:hAnsi="黑体" w:cs="黑体" w:hint="eastAsia"/>
          <w:bCs/>
          <w:sz w:val="28"/>
          <w:szCs w:val="28"/>
        </w:rPr>
      </w:pPr>
    </w:p>
    <w:p w:rsidR="002F1A1F" w:rsidRDefault="002F1A1F" w:rsidP="002F1A1F">
      <w:pPr>
        <w:widowControl/>
        <w:shd w:val="clear" w:color="auto" w:fill="FFFFFF"/>
        <w:jc w:val="left"/>
        <w:rPr>
          <w:rFonts w:ascii="黑体" w:eastAsia="黑体" w:hAnsi="黑体" w:cs="黑体"/>
          <w:bCs/>
          <w:sz w:val="28"/>
          <w:szCs w:val="28"/>
        </w:rPr>
      </w:pPr>
      <w:r>
        <w:rPr>
          <w:rFonts w:ascii="黑体" w:eastAsia="黑体" w:hAnsi="黑体" w:cs="黑体" w:hint="eastAsia"/>
          <w:bCs/>
          <w:sz w:val="28"/>
          <w:szCs w:val="28"/>
        </w:rPr>
        <w:lastRenderedPageBreak/>
        <w:t>附件1</w:t>
      </w:r>
    </w:p>
    <w:p w:rsidR="002F1A1F" w:rsidRPr="0049747D" w:rsidRDefault="002F1A1F" w:rsidP="002F1A1F">
      <w:pPr>
        <w:widowControl/>
        <w:shd w:val="clear" w:color="auto" w:fill="FFFFFF"/>
        <w:ind w:firstLine="480"/>
        <w:jc w:val="left"/>
        <w:rPr>
          <w:rFonts w:ascii="黑体" w:eastAsia="黑体" w:hAnsi="黑体" w:cs="黑体"/>
          <w:bCs/>
          <w:sz w:val="28"/>
          <w:szCs w:val="28"/>
        </w:rPr>
      </w:pPr>
      <w:r w:rsidRPr="0049747D">
        <w:rPr>
          <w:rFonts w:ascii="黑体" w:eastAsia="黑体" w:hAnsi="黑体" w:cs="黑体" w:hint="eastAsia"/>
          <w:bCs/>
          <w:sz w:val="28"/>
          <w:szCs w:val="28"/>
        </w:rPr>
        <w:t>运动营养食品生产车间作业区划分表</w:t>
      </w:r>
    </w:p>
    <w:tbl>
      <w:tblPr>
        <w:tblW w:w="8931" w:type="dxa"/>
        <w:tblInd w:w="105" w:type="dxa"/>
        <w:shd w:val="clear" w:color="auto" w:fill="FFFFFF"/>
        <w:tblCellMar>
          <w:left w:w="0" w:type="dxa"/>
          <w:right w:w="0" w:type="dxa"/>
        </w:tblCellMar>
        <w:tblLook w:val="04A0"/>
      </w:tblPr>
      <w:tblGrid>
        <w:gridCol w:w="851"/>
        <w:gridCol w:w="1417"/>
        <w:gridCol w:w="1927"/>
        <w:gridCol w:w="2728"/>
        <w:gridCol w:w="2008"/>
      </w:tblGrid>
      <w:tr w:rsidR="002F1A1F" w:rsidRPr="0049747D" w:rsidTr="002F1A1F">
        <w:trPr>
          <w:trHeight w:val="525"/>
        </w:trPr>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Theme="minorEastAsia" w:eastAsiaTheme="minorEastAsia" w:hAnsiTheme="minorEastAsia" w:cs="仿宋"/>
                <w:b/>
                <w:sz w:val="24"/>
                <w:szCs w:val="24"/>
              </w:rPr>
            </w:pPr>
            <w:r w:rsidRPr="002F1A1F">
              <w:rPr>
                <w:rFonts w:asciiTheme="minorEastAsia" w:eastAsiaTheme="minorEastAsia" w:hAnsiTheme="minorEastAsia" w:cs="仿宋" w:hint="eastAsia"/>
                <w:b/>
                <w:sz w:val="24"/>
                <w:szCs w:val="24"/>
              </w:rPr>
              <w:t>序号</w:t>
            </w:r>
          </w:p>
        </w:tc>
        <w:tc>
          <w:tcPr>
            <w:tcW w:w="141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Theme="minorEastAsia" w:eastAsiaTheme="minorEastAsia" w:hAnsiTheme="minorEastAsia" w:cs="仿宋"/>
                <w:b/>
                <w:sz w:val="24"/>
                <w:szCs w:val="24"/>
              </w:rPr>
            </w:pPr>
            <w:r w:rsidRPr="002F1A1F">
              <w:rPr>
                <w:rFonts w:asciiTheme="minorEastAsia" w:eastAsiaTheme="minorEastAsia" w:hAnsiTheme="minorEastAsia" w:cs="仿宋" w:hint="eastAsia"/>
                <w:b/>
                <w:sz w:val="24"/>
                <w:szCs w:val="24"/>
              </w:rPr>
              <w:t>产品形态</w:t>
            </w:r>
          </w:p>
        </w:tc>
        <w:tc>
          <w:tcPr>
            <w:tcW w:w="192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Theme="minorEastAsia" w:eastAsiaTheme="minorEastAsia" w:hAnsiTheme="minorEastAsia" w:cs="仿宋"/>
                <w:b/>
                <w:sz w:val="24"/>
                <w:szCs w:val="24"/>
              </w:rPr>
            </w:pPr>
            <w:r w:rsidRPr="002F1A1F">
              <w:rPr>
                <w:rFonts w:asciiTheme="minorEastAsia" w:eastAsiaTheme="minorEastAsia" w:hAnsiTheme="minorEastAsia" w:cs="仿宋" w:hint="eastAsia"/>
                <w:b/>
                <w:sz w:val="24"/>
                <w:szCs w:val="24"/>
              </w:rPr>
              <w:t>清洁作业区</w:t>
            </w:r>
          </w:p>
        </w:tc>
        <w:tc>
          <w:tcPr>
            <w:tcW w:w="27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Theme="minorEastAsia" w:eastAsiaTheme="minorEastAsia" w:hAnsiTheme="minorEastAsia" w:cs="仿宋"/>
                <w:b/>
                <w:sz w:val="24"/>
                <w:szCs w:val="24"/>
              </w:rPr>
            </w:pPr>
            <w:r w:rsidRPr="002F1A1F">
              <w:rPr>
                <w:rFonts w:asciiTheme="minorEastAsia" w:eastAsiaTheme="minorEastAsia" w:hAnsiTheme="minorEastAsia" w:cs="仿宋" w:hint="eastAsia"/>
                <w:b/>
                <w:sz w:val="24"/>
                <w:szCs w:val="24"/>
              </w:rPr>
              <w:t>准清洁作业区</w:t>
            </w:r>
          </w:p>
        </w:tc>
        <w:tc>
          <w:tcPr>
            <w:tcW w:w="200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Theme="minorEastAsia" w:eastAsiaTheme="minorEastAsia" w:hAnsiTheme="minorEastAsia" w:cs="仿宋"/>
                <w:b/>
                <w:sz w:val="24"/>
                <w:szCs w:val="24"/>
              </w:rPr>
            </w:pPr>
            <w:r w:rsidRPr="002F1A1F">
              <w:rPr>
                <w:rFonts w:asciiTheme="minorEastAsia" w:eastAsiaTheme="minorEastAsia" w:hAnsiTheme="minorEastAsia" w:cs="仿宋" w:hint="eastAsia"/>
                <w:b/>
                <w:sz w:val="24"/>
                <w:szCs w:val="24"/>
              </w:rPr>
              <w:t>一般作业区</w:t>
            </w:r>
          </w:p>
        </w:tc>
      </w:tr>
      <w:tr w:rsidR="002F1A1F" w:rsidRPr="0049747D" w:rsidTr="002F1A1F">
        <w:trPr>
          <w:trHeight w:val="1065"/>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jc w:val="center"/>
              <w:rPr>
                <w:rFonts w:ascii="仿宋" w:hAnsi="仿宋" w:cs="仿宋"/>
                <w:sz w:val="24"/>
                <w:szCs w:val="24"/>
              </w:rPr>
            </w:pPr>
            <w:r w:rsidRPr="0049747D">
              <w:rPr>
                <w:rFonts w:ascii="仿宋" w:hAnsi="仿宋" w:cs="仿宋" w:hint="eastAsia"/>
                <w:sz w:val="24"/>
                <w:szCs w:val="24"/>
              </w:rPr>
              <w:t>1</w:t>
            </w:r>
          </w:p>
        </w:tc>
        <w:tc>
          <w:tcPr>
            <w:tcW w:w="14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液态类</w:t>
            </w:r>
          </w:p>
        </w:tc>
        <w:tc>
          <w:tcPr>
            <w:tcW w:w="192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灌装车间（限无菌灌装）、包材消毒清洁间（限无菌灌装）</w:t>
            </w:r>
          </w:p>
        </w:tc>
        <w:tc>
          <w:tcPr>
            <w:tcW w:w="272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原料加工处理车间、配料混合车间、洗瓶（罐）车间、灌装车间（非无菌灌装）、包材消毒清洁间（非无菌灌装）、杀菌车间（非无菌灌装）、冷却车间、其他加工车间</w:t>
            </w:r>
          </w:p>
        </w:tc>
        <w:tc>
          <w:tcPr>
            <w:tcW w:w="20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原辅料、包装材料、成品仓库及外包装间</w:t>
            </w:r>
          </w:p>
        </w:tc>
      </w:tr>
      <w:tr w:rsidR="002F1A1F" w:rsidRPr="0049747D" w:rsidTr="002F1A1F">
        <w:trPr>
          <w:trHeight w:val="1065"/>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jc w:val="center"/>
              <w:rPr>
                <w:rFonts w:ascii="仿宋" w:hAnsi="仿宋" w:cs="仿宋"/>
                <w:sz w:val="24"/>
                <w:szCs w:val="24"/>
              </w:rPr>
            </w:pPr>
            <w:r w:rsidRPr="0049747D">
              <w:rPr>
                <w:rFonts w:ascii="仿宋" w:hAnsi="仿宋" w:cs="仿宋" w:hint="eastAsia"/>
                <w:sz w:val="24"/>
                <w:szCs w:val="24"/>
              </w:rPr>
              <w:t>2</w:t>
            </w:r>
          </w:p>
        </w:tc>
        <w:tc>
          <w:tcPr>
            <w:tcW w:w="14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固态类</w:t>
            </w:r>
          </w:p>
        </w:tc>
        <w:tc>
          <w:tcPr>
            <w:tcW w:w="192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配料、混料车间（干法工艺）、成型车间、冷却车间、半成品暂存间、包材消毒清洁间、内包装车间等</w:t>
            </w:r>
          </w:p>
        </w:tc>
        <w:tc>
          <w:tcPr>
            <w:tcW w:w="272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原料加工处理车间、配料、混料车间（湿法工艺）、干燥车间或膨化车间、烘烤车间、原辅料外包装清洁间、其他加工车间</w:t>
            </w:r>
          </w:p>
        </w:tc>
        <w:tc>
          <w:tcPr>
            <w:tcW w:w="20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原辅料、包装材料、成品仓库及外包装间</w:t>
            </w:r>
          </w:p>
        </w:tc>
      </w:tr>
      <w:tr w:rsidR="002F1A1F" w:rsidRPr="0049747D" w:rsidTr="002F1A1F">
        <w:trPr>
          <w:trHeight w:val="1065"/>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jc w:val="center"/>
              <w:rPr>
                <w:rFonts w:ascii="仿宋" w:hAnsi="仿宋" w:cs="仿宋"/>
                <w:sz w:val="24"/>
                <w:szCs w:val="24"/>
              </w:rPr>
            </w:pPr>
            <w:r w:rsidRPr="0049747D">
              <w:rPr>
                <w:rFonts w:ascii="仿宋" w:hAnsi="仿宋" w:cs="仿宋" w:hint="eastAsia"/>
                <w:sz w:val="24"/>
                <w:szCs w:val="24"/>
              </w:rPr>
              <w:t>3</w:t>
            </w:r>
          </w:p>
        </w:tc>
        <w:tc>
          <w:tcPr>
            <w:tcW w:w="14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半固态</w:t>
            </w:r>
          </w:p>
        </w:tc>
        <w:tc>
          <w:tcPr>
            <w:tcW w:w="192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灌装车间（后杀菌工艺可以设立在准清洁区）</w:t>
            </w:r>
          </w:p>
        </w:tc>
        <w:tc>
          <w:tcPr>
            <w:tcW w:w="272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原料加工处理车间、配料混合车间、洗瓶（罐）车间、灌装车间、包材消毒清洁间、杀菌车间、冷却车间、其他加工车间</w:t>
            </w:r>
          </w:p>
        </w:tc>
        <w:tc>
          <w:tcPr>
            <w:tcW w:w="20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747D" w:rsidRPr="0049747D" w:rsidRDefault="002F1A1F" w:rsidP="002F1A1F">
            <w:pPr>
              <w:spacing w:line="310" w:lineRule="exact"/>
              <w:ind w:leftChars="20" w:left="62" w:rightChars="20" w:right="62"/>
              <w:rPr>
                <w:rFonts w:ascii="仿宋" w:hAnsi="仿宋" w:cs="仿宋"/>
                <w:sz w:val="24"/>
                <w:szCs w:val="24"/>
              </w:rPr>
            </w:pPr>
            <w:r w:rsidRPr="0049747D">
              <w:rPr>
                <w:rFonts w:ascii="仿宋" w:hAnsi="仿宋" w:cs="仿宋" w:hint="eastAsia"/>
                <w:sz w:val="24"/>
                <w:szCs w:val="24"/>
              </w:rPr>
              <w:t>原辅料、包装材料、成品仓库及外包装间</w:t>
            </w:r>
          </w:p>
        </w:tc>
      </w:tr>
    </w:tbl>
    <w:p w:rsidR="002F1A1F" w:rsidRDefault="002F1A1F" w:rsidP="0056671C">
      <w:pPr>
        <w:tabs>
          <w:tab w:val="left" w:pos="624"/>
          <w:tab w:val="center" w:pos="4365"/>
        </w:tabs>
        <w:spacing w:beforeLines="30" w:afterLines="30" w:line="590" w:lineRule="exact"/>
        <w:rPr>
          <w:rFonts w:ascii="黑体" w:eastAsia="黑体" w:hAnsi="黑体" w:cs="黑体"/>
          <w:bCs/>
          <w:sz w:val="28"/>
          <w:szCs w:val="28"/>
        </w:rPr>
      </w:pPr>
    </w:p>
    <w:p w:rsidR="002F1A1F" w:rsidRDefault="002F1A1F" w:rsidP="0056671C">
      <w:pPr>
        <w:tabs>
          <w:tab w:val="left" w:pos="624"/>
          <w:tab w:val="center" w:pos="4365"/>
        </w:tabs>
        <w:spacing w:beforeLines="30" w:afterLines="30" w:line="590" w:lineRule="exact"/>
        <w:rPr>
          <w:rFonts w:ascii="黑体" w:eastAsia="黑体" w:hAnsi="黑体" w:cs="黑体"/>
          <w:bCs/>
          <w:sz w:val="28"/>
          <w:szCs w:val="28"/>
        </w:rPr>
      </w:pPr>
    </w:p>
    <w:p w:rsidR="002F1A1F" w:rsidRDefault="002F1A1F" w:rsidP="0056671C">
      <w:pPr>
        <w:tabs>
          <w:tab w:val="left" w:pos="624"/>
          <w:tab w:val="center" w:pos="4365"/>
        </w:tabs>
        <w:spacing w:beforeLines="30" w:afterLines="30" w:line="590" w:lineRule="exact"/>
        <w:rPr>
          <w:rFonts w:ascii="黑体" w:eastAsia="黑体" w:hAnsi="黑体" w:cs="黑体"/>
          <w:bCs/>
          <w:sz w:val="28"/>
          <w:szCs w:val="28"/>
        </w:rPr>
      </w:pPr>
    </w:p>
    <w:p w:rsidR="002F1A1F" w:rsidRDefault="002F1A1F" w:rsidP="0056671C">
      <w:pPr>
        <w:tabs>
          <w:tab w:val="left" w:pos="624"/>
          <w:tab w:val="center" w:pos="4365"/>
        </w:tabs>
        <w:spacing w:beforeLines="30" w:afterLines="30" w:line="590" w:lineRule="exact"/>
        <w:rPr>
          <w:rFonts w:ascii="黑体" w:eastAsia="黑体" w:hAnsi="黑体" w:cs="黑体"/>
          <w:bCs/>
          <w:sz w:val="28"/>
          <w:szCs w:val="28"/>
        </w:rPr>
      </w:pPr>
    </w:p>
    <w:p w:rsidR="002F1A1F" w:rsidRDefault="002F1A1F" w:rsidP="0056671C">
      <w:pPr>
        <w:tabs>
          <w:tab w:val="left" w:pos="624"/>
          <w:tab w:val="center" w:pos="4365"/>
        </w:tabs>
        <w:spacing w:beforeLines="30" w:afterLines="30" w:line="590" w:lineRule="exact"/>
        <w:rPr>
          <w:rFonts w:ascii="黑体" w:eastAsia="黑体" w:hAnsi="黑体" w:cs="黑体"/>
          <w:bCs/>
          <w:sz w:val="28"/>
          <w:szCs w:val="28"/>
        </w:rPr>
      </w:pPr>
    </w:p>
    <w:p w:rsidR="002F1A1F" w:rsidRDefault="002F1A1F" w:rsidP="0056671C">
      <w:pPr>
        <w:tabs>
          <w:tab w:val="left" w:pos="624"/>
          <w:tab w:val="center" w:pos="4365"/>
        </w:tabs>
        <w:spacing w:beforeLines="30" w:afterLines="30" w:line="590" w:lineRule="exact"/>
        <w:rPr>
          <w:rFonts w:ascii="黑体" w:eastAsia="黑体" w:hAnsi="黑体" w:cs="黑体"/>
          <w:bCs/>
          <w:sz w:val="28"/>
          <w:szCs w:val="28"/>
        </w:rPr>
      </w:pPr>
    </w:p>
    <w:p w:rsidR="002F1A1F" w:rsidRDefault="002F1A1F" w:rsidP="0056671C">
      <w:pPr>
        <w:tabs>
          <w:tab w:val="left" w:pos="624"/>
          <w:tab w:val="center" w:pos="4365"/>
        </w:tabs>
        <w:spacing w:beforeLines="30" w:afterLines="30" w:line="590" w:lineRule="exact"/>
        <w:rPr>
          <w:rFonts w:ascii="黑体" w:eastAsia="黑体" w:hAnsi="黑体" w:cs="黑体"/>
          <w:bCs/>
          <w:sz w:val="28"/>
          <w:szCs w:val="28"/>
        </w:rPr>
      </w:pPr>
      <w:r>
        <w:rPr>
          <w:rFonts w:ascii="黑体" w:eastAsia="黑体" w:hAnsi="黑体" w:cs="黑体" w:hint="eastAsia"/>
          <w:bCs/>
          <w:sz w:val="28"/>
          <w:szCs w:val="28"/>
        </w:rPr>
        <w:lastRenderedPageBreak/>
        <w:t>附件2</w:t>
      </w:r>
    </w:p>
    <w:p w:rsidR="002F1A1F" w:rsidRDefault="002F1A1F" w:rsidP="0056671C">
      <w:pPr>
        <w:tabs>
          <w:tab w:val="left" w:pos="624"/>
          <w:tab w:val="center" w:pos="4365"/>
        </w:tabs>
        <w:spacing w:beforeLines="30" w:afterLines="30" w:line="590" w:lineRule="exact"/>
        <w:jc w:val="center"/>
        <w:rPr>
          <w:rFonts w:ascii="黑体" w:eastAsia="黑体" w:hAnsi="黑体" w:cs="黑体"/>
          <w:bCs/>
          <w:sz w:val="28"/>
          <w:szCs w:val="28"/>
        </w:rPr>
      </w:pPr>
      <w:r w:rsidRPr="0049747D">
        <w:rPr>
          <w:rFonts w:ascii="黑体" w:eastAsia="黑体" w:hAnsi="黑体" w:cs="黑体" w:hint="eastAsia"/>
          <w:bCs/>
          <w:sz w:val="28"/>
          <w:szCs w:val="28"/>
        </w:rPr>
        <w:t>运动营养食品</w:t>
      </w:r>
      <w:r>
        <w:rPr>
          <w:rFonts w:ascii="黑体" w:eastAsia="黑体" w:hAnsi="黑体" w:cs="黑体" w:hint="eastAsia"/>
          <w:bCs/>
          <w:sz w:val="28"/>
          <w:szCs w:val="28"/>
        </w:rPr>
        <w:t>生产清洁作业区标准控制表</w:t>
      </w:r>
    </w:p>
    <w:tbl>
      <w:tblPr>
        <w:tblW w:w="875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57"/>
        <w:gridCol w:w="1554"/>
        <w:gridCol w:w="2016"/>
        <w:gridCol w:w="2801"/>
        <w:gridCol w:w="1426"/>
      </w:tblGrid>
      <w:tr w:rsidR="002F1A1F" w:rsidRPr="002F1A1F" w:rsidTr="004E3CEB">
        <w:trPr>
          <w:trHeight w:val="1025"/>
          <w:tblHeader/>
          <w:jc w:val="center"/>
        </w:trPr>
        <w:tc>
          <w:tcPr>
            <w:tcW w:w="957" w:type="dxa"/>
            <w:tcBorders>
              <w:top w:val="single" w:sz="2" w:space="0" w:color="000000"/>
              <w:left w:val="single" w:sz="4" w:space="0" w:color="auto"/>
              <w:bottom w:val="single" w:sz="4" w:space="0" w:color="auto"/>
              <w:right w:val="single" w:sz="2" w:space="0" w:color="000000"/>
            </w:tcBorders>
            <w:shd w:val="clear" w:color="auto" w:fill="FFFFFF"/>
            <w:vAlign w:val="center"/>
          </w:tcPr>
          <w:p w:rsidR="002F1A1F" w:rsidRPr="002F1A1F" w:rsidRDefault="002F1A1F" w:rsidP="002F1A1F">
            <w:pPr>
              <w:spacing w:line="300" w:lineRule="exact"/>
              <w:ind w:leftChars="20" w:left="62" w:rightChars="20" w:right="62"/>
              <w:jc w:val="center"/>
              <w:rPr>
                <w:rFonts w:ascii="仿宋" w:hAnsi="仿宋" w:cs="黑体"/>
                <w:bCs/>
                <w:sz w:val="24"/>
                <w:szCs w:val="24"/>
              </w:rPr>
            </w:pPr>
            <w:r w:rsidRPr="002F1A1F">
              <w:rPr>
                <w:rFonts w:ascii="仿宋" w:hAnsi="仿宋" w:cs="黑体" w:hint="eastAsia"/>
                <w:bCs/>
                <w:sz w:val="24"/>
                <w:szCs w:val="24"/>
              </w:rPr>
              <w:t>项目</w:t>
            </w:r>
          </w:p>
        </w:tc>
        <w:tc>
          <w:tcPr>
            <w:tcW w:w="1554"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1A1F" w:rsidRPr="002F1A1F" w:rsidRDefault="002F1A1F" w:rsidP="002F1A1F">
            <w:pPr>
              <w:spacing w:line="300" w:lineRule="exact"/>
              <w:ind w:leftChars="20" w:left="62" w:rightChars="20" w:right="62"/>
              <w:jc w:val="center"/>
              <w:rPr>
                <w:rFonts w:ascii="仿宋" w:hAnsi="仿宋" w:cs="黑体"/>
                <w:bCs/>
                <w:sz w:val="24"/>
                <w:szCs w:val="24"/>
              </w:rPr>
            </w:pPr>
            <w:r w:rsidRPr="002F1A1F">
              <w:rPr>
                <w:rFonts w:ascii="仿宋" w:hAnsi="仿宋" w:cs="黑体" w:hint="eastAsia"/>
                <w:bCs/>
                <w:sz w:val="24"/>
                <w:szCs w:val="24"/>
              </w:rPr>
              <w:t>内容</w:t>
            </w:r>
          </w:p>
        </w:tc>
        <w:tc>
          <w:tcPr>
            <w:tcW w:w="2016"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1A1F" w:rsidRPr="002F1A1F" w:rsidRDefault="002F1A1F" w:rsidP="002F1A1F">
            <w:pPr>
              <w:spacing w:line="300" w:lineRule="exact"/>
              <w:ind w:leftChars="20" w:left="62" w:rightChars="20" w:right="62"/>
              <w:jc w:val="center"/>
              <w:rPr>
                <w:rFonts w:ascii="仿宋" w:hAnsi="仿宋" w:cs="黑体"/>
                <w:bCs/>
                <w:sz w:val="24"/>
                <w:szCs w:val="24"/>
              </w:rPr>
            </w:pPr>
            <w:r w:rsidRPr="002F1A1F">
              <w:rPr>
                <w:rFonts w:ascii="仿宋" w:hAnsi="仿宋" w:cs="黑体" w:hint="eastAsia"/>
                <w:bCs/>
                <w:sz w:val="24"/>
                <w:szCs w:val="24"/>
              </w:rPr>
              <w:t>检测方法</w:t>
            </w:r>
          </w:p>
        </w:tc>
        <w:tc>
          <w:tcPr>
            <w:tcW w:w="2801" w:type="dxa"/>
            <w:tcBorders>
              <w:top w:val="single" w:sz="2" w:space="0" w:color="000000"/>
              <w:left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jc w:val="center"/>
              <w:rPr>
                <w:rFonts w:ascii="仿宋" w:hAnsi="仿宋" w:cs="黑体"/>
                <w:bCs/>
                <w:sz w:val="24"/>
                <w:szCs w:val="24"/>
              </w:rPr>
            </w:pPr>
            <w:r w:rsidRPr="002F1A1F">
              <w:rPr>
                <w:rFonts w:ascii="仿宋" w:hAnsi="仿宋" w:cs="黑体" w:hint="eastAsia"/>
                <w:bCs/>
                <w:sz w:val="24"/>
                <w:szCs w:val="24"/>
              </w:rPr>
              <w:t>控制要求</w:t>
            </w:r>
          </w:p>
        </w:tc>
        <w:tc>
          <w:tcPr>
            <w:tcW w:w="1426" w:type="dxa"/>
            <w:tcBorders>
              <w:top w:val="single" w:sz="2" w:space="0" w:color="000000"/>
              <w:left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jc w:val="center"/>
              <w:rPr>
                <w:rFonts w:ascii="仿宋" w:hAnsi="仿宋" w:cs="黑体"/>
                <w:bCs/>
                <w:sz w:val="24"/>
                <w:szCs w:val="24"/>
              </w:rPr>
            </w:pPr>
            <w:r w:rsidRPr="002F1A1F">
              <w:rPr>
                <w:rFonts w:ascii="仿宋" w:hAnsi="仿宋" w:cs="黑体" w:hint="eastAsia"/>
                <w:bCs/>
                <w:sz w:val="24"/>
                <w:szCs w:val="24"/>
              </w:rPr>
              <w:t>监控频次</w:t>
            </w:r>
          </w:p>
        </w:tc>
      </w:tr>
      <w:tr w:rsidR="002F1A1F" w:rsidRPr="002F1A1F" w:rsidTr="004E3CEB">
        <w:trPr>
          <w:trHeight w:val="510"/>
          <w:jc w:val="center"/>
        </w:trPr>
        <w:tc>
          <w:tcPr>
            <w:tcW w:w="957"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悬浮粒子</w:t>
            </w:r>
          </w:p>
        </w:tc>
        <w:tc>
          <w:tcPr>
            <w:tcW w:w="1554" w:type="dxa"/>
            <w:tcBorders>
              <w:top w:val="single" w:sz="4" w:space="0" w:color="auto"/>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≥0.5μm</w:t>
            </w:r>
          </w:p>
        </w:tc>
        <w:tc>
          <w:tcPr>
            <w:tcW w:w="2016" w:type="dxa"/>
            <w:tcBorders>
              <w:top w:val="single" w:sz="4" w:space="0" w:color="auto"/>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GB/T 16292</w:t>
            </w:r>
          </w:p>
        </w:tc>
        <w:tc>
          <w:tcPr>
            <w:tcW w:w="2801" w:type="dxa"/>
            <w:tcBorders>
              <w:top w:val="single" w:sz="4" w:space="0" w:color="auto"/>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≤3520000粒/m</w:t>
            </w:r>
            <w:r w:rsidRPr="002F1A1F">
              <w:rPr>
                <w:rFonts w:ascii="仿宋" w:hAnsi="仿宋" w:cs="仿宋" w:hint="eastAsia"/>
                <w:sz w:val="24"/>
                <w:szCs w:val="24"/>
                <w:vertAlign w:val="superscript"/>
              </w:rPr>
              <w:t>3</w:t>
            </w:r>
          </w:p>
        </w:tc>
        <w:tc>
          <w:tcPr>
            <w:tcW w:w="1426" w:type="dxa"/>
            <w:tcBorders>
              <w:top w:val="single" w:sz="4" w:space="0" w:color="auto"/>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1次/年</w:t>
            </w:r>
          </w:p>
        </w:tc>
      </w:tr>
      <w:tr w:rsidR="002F1A1F" w:rsidRPr="002F1A1F" w:rsidTr="004E3CEB">
        <w:trPr>
          <w:trHeight w:val="510"/>
          <w:jc w:val="center"/>
        </w:trPr>
        <w:tc>
          <w:tcPr>
            <w:tcW w:w="9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≥5.0μm</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GB/T 16292</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≤29000粒/m</w:t>
            </w:r>
            <w:r w:rsidRPr="002F1A1F">
              <w:rPr>
                <w:rFonts w:ascii="仿宋" w:hAnsi="仿宋" w:cs="仿宋" w:hint="eastAsia"/>
                <w:sz w:val="24"/>
                <w:szCs w:val="24"/>
                <w:vertAlign w:val="superscript"/>
              </w:rPr>
              <w:t>3</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1次/年</w:t>
            </w:r>
          </w:p>
        </w:tc>
      </w:tr>
      <w:tr w:rsidR="002F1A1F" w:rsidRPr="002F1A1F" w:rsidTr="004E3CEB">
        <w:trPr>
          <w:trHeight w:val="510"/>
          <w:jc w:val="center"/>
        </w:trPr>
        <w:tc>
          <w:tcPr>
            <w:tcW w:w="95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微生物最大允许数</w:t>
            </w: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浮游菌</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GB/T 16293</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≤200 cfu/m</w:t>
            </w:r>
            <w:r w:rsidRPr="002F1A1F">
              <w:rPr>
                <w:rFonts w:ascii="仿宋" w:hAnsi="仿宋" w:cs="仿宋" w:hint="eastAsia"/>
                <w:sz w:val="24"/>
                <w:szCs w:val="24"/>
                <w:vertAlign w:val="superscript"/>
              </w:rPr>
              <w:t>3</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1次/月</w:t>
            </w:r>
          </w:p>
        </w:tc>
      </w:tr>
      <w:tr w:rsidR="002F1A1F" w:rsidRPr="002F1A1F" w:rsidTr="004E3CEB">
        <w:trPr>
          <w:trHeight w:val="510"/>
          <w:jc w:val="center"/>
        </w:trPr>
        <w:tc>
          <w:tcPr>
            <w:tcW w:w="9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沉降菌</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GB/T 16294</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≤100 cfu/4h（φ90mm）</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1次/月</w:t>
            </w:r>
          </w:p>
        </w:tc>
      </w:tr>
      <w:tr w:rsidR="002F1A1F" w:rsidRPr="002F1A1F" w:rsidTr="004E3CEB">
        <w:trPr>
          <w:trHeight w:val="510"/>
          <w:jc w:val="center"/>
        </w:trPr>
        <w:tc>
          <w:tcPr>
            <w:tcW w:w="9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表面微生物</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参照GB 15982采样，按GB 4789.2计数</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≤50cfu/皿（φ55mm）</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1次/月</w:t>
            </w:r>
          </w:p>
        </w:tc>
      </w:tr>
      <w:tr w:rsidR="002F1A1F" w:rsidRPr="002F1A1F" w:rsidTr="004E3CEB">
        <w:trPr>
          <w:trHeight w:val="510"/>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压差</w:t>
            </w: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清洁作业区与非清洁作业区之间</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通过压差计测量</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≥10Pa</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2次/班</w:t>
            </w:r>
          </w:p>
        </w:tc>
      </w:tr>
      <w:tr w:rsidR="002F1A1F" w:rsidRPr="002F1A1F" w:rsidTr="004E3CEB">
        <w:trPr>
          <w:trHeight w:val="510"/>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换气次数</w:t>
            </w: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通过测定风速验证换气次数</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通过风速仪测定</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≥10次/h</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更换高效过滤器时或1次/月</w:t>
            </w:r>
          </w:p>
        </w:tc>
      </w:tr>
      <w:tr w:rsidR="002F1A1F" w:rsidRPr="002F1A1F" w:rsidTr="004E3CEB">
        <w:trPr>
          <w:trHeight w:val="510"/>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温度</w:t>
            </w: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jc w:val="center"/>
              <w:rPr>
                <w:rFonts w:ascii="仿宋" w:hAnsi="仿宋" w:cs="仿宋"/>
                <w:sz w:val="24"/>
                <w:szCs w:val="24"/>
              </w:rPr>
            </w:pPr>
            <w:r w:rsidRPr="002F1A1F">
              <w:rPr>
                <w:rFonts w:ascii="仿宋" w:hAnsi="仿宋" w:cs="仿宋" w:hint="eastAsia"/>
                <w:sz w:val="24"/>
                <w:szCs w:val="24"/>
              </w:rPr>
              <w:t>-</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通过温度表测定</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16—26℃</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2次/班</w:t>
            </w:r>
          </w:p>
        </w:tc>
      </w:tr>
      <w:tr w:rsidR="002F1A1F" w:rsidRPr="002F1A1F" w:rsidTr="004E3CEB">
        <w:trPr>
          <w:trHeight w:val="510"/>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相对湿度</w:t>
            </w:r>
          </w:p>
        </w:tc>
        <w:tc>
          <w:tcPr>
            <w:tcW w:w="15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jc w:val="center"/>
              <w:rPr>
                <w:rFonts w:ascii="仿宋" w:hAnsi="仿宋" w:cs="仿宋"/>
                <w:sz w:val="24"/>
                <w:szCs w:val="24"/>
              </w:rPr>
            </w:pPr>
            <w:r w:rsidRPr="002F1A1F">
              <w:rPr>
                <w:rFonts w:ascii="仿宋" w:hAnsi="仿宋" w:cs="仿宋" w:hint="eastAsia"/>
                <w:sz w:val="24"/>
                <w:szCs w:val="24"/>
              </w:rPr>
              <w:t>-</w:t>
            </w:r>
          </w:p>
        </w:tc>
        <w:tc>
          <w:tcPr>
            <w:tcW w:w="2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通过湿度表测定</w:t>
            </w:r>
          </w:p>
        </w:tc>
        <w:tc>
          <w:tcPr>
            <w:tcW w:w="28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≤65%</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2次/班</w:t>
            </w:r>
          </w:p>
        </w:tc>
      </w:tr>
      <w:tr w:rsidR="002F1A1F" w:rsidRPr="002F1A1F" w:rsidTr="004E3CEB">
        <w:trPr>
          <w:trHeight w:val="510"/>
          <w:jc w:val="center"/>
        </w:trPr>
        <w:tc>
          <w:tcPr>
            <w:tcW w:w="8754"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2F1A1F" w:rsidRPr="002F1A1F" w:rsidRDefault="002F1A1F" w:rsidP="002F1A1F">
            <w:pPr>
              <w:spacing w:line="300" w:lineRule="exact"/>
              <w:ind w:leftChars="20" w:left="62" w:rightChars="20" w:right="62"/>
              <w:rPr>
                <w:rFonts w:ascii="仿宋" w:hAnsi="仿宋" w:cs="仿宋"/>
                <w:sz w:val="24"/>
                <w:szCs w:val="24"/>
              </w:rPr>
            </w:pPr>
            <w:r w:rsidRPr="002F1A1F">
              <w:rPr>
                <w:rFonts w:ascii="仿宋" w:hAnsi="仿宋" w:cs="仿宋" w:hint="eastAsia"/>
                <w:sz w:val="24"/>
                <w:szCs w:val="24"/>
              </w:rPr>
              <w:t>注：1.换气次数通过风速进行转换后测定。计算公式为：N=3600SV/A，监测时通过风速计算。其中，N=换气次数，次/h；S=风口通风面积，m</w:t>
            </w:r>
            <w:r w:rsidRPr="002F1A1F">
              <w:rPr>
                <w:rFonts w:ascii="仿宋" w:hAnsi="仿宋" w:cs="仿宋" w:hint="eastAsia"/>
                <w:sz w:val="24"/>
                <w:szCs w:val="24"/>
                <w:vertAlign w:val="superscript"/>
              </w:rPr>
              <w:t>2</w:t>
            </w:r>
            <w:r w:rsidRPr="002F1A1F">
              <w:rPr>
                <w:rFonts w:ascii="仿宋" w:hAnsi="仿宋" w:cs="仿宋" w:hint="eastAsia"/>
                <w:sz w:val="24"/>
                <w:szCs w:val="24"/>
              </w:rPr>
              <w:t>；A=车间容积，m</w:t>
            </w:r>
            <w:r w:rsidRPr="002F1A1F">
              <w:rPr>
                <w:rFonts w:ascii="仿宋" w:hAnsi="仿宋" w:cs="仿宋" w:hint="eastAsia"/>
                <w:sz w:val="24"/>
                <w:szCs w:val="24"/>
                <w:vertAlign w:val="superscript"/>
              </w:rPr>
              <w:t>3</w:t>
            </w:r>
            <w:r w:rsidRPr="002F1A1F">
              <w:rPr>
                <w:rFonts w:ascii="仿宋" w:hAnsi="仿宋" w:cs="仿宋" w:hint="eastAsia"/>
                <w:sz w:val="24"/>
                <w:szCs w:val="24"/>
              </w:rPr>
              <w:t>；V=测得风口平均风速，m/s。</w:t>
            </w:r>
          </w:p>
          <w:p w:rsidR="002F1A1F" w:rsidRPr="002F1A1F" w:rsidRDefault="002F1A1F" w:rsidP="002F1A1F">
            <w:pPr>
              <w:spacing w:line="300" w:lineRule="exact"/>
              <w:ind w:leftChars="20" w:left="62" w:rightChars="20" w:right="62" w:firstLineChars="150" w:firstLine="348"/>
              <w:rPr>
                <w:rFonts w:ascii="仿宋" w:hAnsi="仿宋" w:cs="仿宋"/>
                <w:sz w:val="24"/>
                <w:szCs w:val="24"/>
              </w:rPr>
            </w:pPr>
            <w:r w:rsidRPr="002F1A1F">
              <w:rPr>
                <w:rFonts w:ascii="仿宋" w:hAnsi="仿宋" w:cs="仿宋" w:hint="eastAsia"/>
                <w:sz w:val="24"/>
                <w:szCs w:val="24"/>
              </w:rPr>
              <w:t>2.延长或缩短监控频次前，生产企业应当进行效果确认，并提供确认报告</w:t>
            </w:r>
          </w:p>
        </w:tc>
      </w:tr>
    </w:tbl>
    <w:p w:rsidR="002F1A1F" w:rsidRDefault="002F1A1F" w:rsidP="002F1A1F">
      <w:pPr>
        <w:spacing w:line="590" w:lineRule="exact"/>
        <w:ind w:firstLineChars="200" w:firstLine="544"/>
        <w:rPr>
          <w:rFonts w:ascii="黑体" w:eastAsia="黑体" w:hAnsi="黑体" w:cs="黑体"/>
          <w:sz w:val="28"/>
          <w:szCs w:val="28"/>
        </w:rPr>
      </w:pPr>
      <w:bookmarkStart w:id="12" w:name="_Toc416939948"/>
      <w:bookmarkEnd w:id="12"/>
    </w:p>
    <w:p w:rsidR="00060CB4" w:rsidRPr="002F1A1F" w:rsidRDefault="00060CB4" w:rsidP="002F1A1F">
      <w:pPr>
        <w:spacing w:line="590" w:lineRule="exact"/>
        <w:ind w:firstLineChars="200" w:firstLine="624"/>
      </w:pPr>
    </w:p>
    <w:sectPr w:rsidR="00060CB4" w:rsidRPr="002F1A1F" w:rsidSect="002F1A1F">
      <w:footerReference w:type="even" r:id="rId7"/>
      <w:footerReference w:type="default" r:id="rId8"/>
      <w:pgSz w:w="11906" w:h="16838"/>
      <w:pgMar w:top="2098" w:right="1588" w:bottom="1701" w:left="1588" w:header="851" w:footer="1418" w:gutter="0"/>
      <w:cols w:space="720"/>
      <w:docGrid w:type="linesAndChars" w:linePitch="592"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67" w:rsidRDefault="00C31B67">
      <w:r>
        <w:separator/>
      </w:r>
    </w:p>
  </w:endnote>
  <w:endnote w:type="continuationSeparator" w:id="0">
    <w:p w:rsidR="00C31B67" w:rsidRDefault="00C3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A2" w:rsidRDefault="00591BA2">
    <w:pPr>
      <w:pStyle w:val="a3"/>
      <w:framePr w:wrap="around" w:vAnchor="text" w:hAnchor="margin" w:xAlign="outside" w:y="1"/>
      <w:ind w:leftChars="100" w:left="320"/>
      <w:rPr>
        <w:rStyle w:val="a4"/>
        <w:rFonts w:ascii="宋体" w:hAnsi="宋体"/>
        <w:sz w:val="28"/>
      </w:rPr>
    </w:pPr>
    <w:r>
      <w:rPr>
        <w:rStyle w:val="a4"/>
        <w:rFonts w:ascii="宋体" w:hAnsi="宋体" w:hint="eastAsia"/>
        <w:sz w:val="28"/>
      </w:rPr>
      <w:t xml:space="preserve">— </w:t>
    </w:r>
    <w:r w:rsidR="00D603A9">
      <w:rPr>
        <w:rFonts w:ascii="宋体" w:hAnsi="宋体"/>
        <w:sz w:val="28"/>
      </w:rPr>
      <w:fldChar w:fldCharType="begin"/>
    </w:r>
    <w:r>
      <w:rPr>
        <w:rStyle w:val="a4"/>
        <w:rFonts w:ascii="宋体" w:hAnsi="宋体"/>
        <w:sz w:val="28"/>
      </w:rPr>
      <w:instrText xml:space="preserve">PAGE  </w:instrText>
    </w:r>
    <w:r w:rsidR="00D603A9">
      <w:rPr>
        <w:rFonts w:ascii="宋体" w:hAnsi="宋体"/>
        <w:sz w:val="28"/>
      </w:rPr>
      <w:fldChar w:fldCharType="separate"/>
    </w:r>
    <w:r>
      <w:rPr>
        <w:rStyle w:val="a4"/>
        <w:rFonts w:ascii="宋体" w:hAnsi="宋体"/>
        <w:sz w:val="28"/>
      </w:rPr>
      <w:t>2</w:t>
    </w:r>
    <w:r w:rsidR="00D603A9">
      <w:rPr>
        <w:rFonts w:ascii="宋体" w:hAnsi="宋体"/>
        <w:sz w:val="28"/>
      </w:rPr>
      <w:fldChar w:fldCharType="end"/>
    </w:r>
    <w:r>
      <w:rPr>
        <w:rStyle w:val="a4"/>
        <w:rFonts w:ascii="宋体" w:hAnsi="宋体" w:hint="eastAsia"/>
        <w:sz w:val="28"/>
      </w:rPr>
      <w:t xml:space="preserve"> —</w:t>
    </w:r>
  </w:p>
  <w:p w:rsidR="00591BA2" w:rsidRDefault="00591BA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A2" w:rsidRDefault="00591BA2">
    <w:pPr>
      <w:pStyle w:val="a3"/>
      <w:framePr w:wrap="around" w:vAnchor="text" w:hAnchor="margin" w:xAlign="outside" w:y="1"/>
      <w:ind w:leftChars="100" w:left="320" w:rightChars="100" w:right="320"/>
      <w:rPr>
        <w:rStyle w:val="a4"/>
        <w:rFonts w:ascii="宋体" w:hAnsi="宋体"/>
        <w:sz w:val="28"/>
      </w:rPr>
    </w:pPr>
    <w:r>
      <w:rPr>
        <w:rStyle w:val="a4"/>
        <w:rFonts w:ascii="宋体" w:hAnsi="宋体" w:hint="eastAsia"/>
        <w:sz w:val="28"/>
      </w:rPr>
      <w:t xml:space="preserve">— </w:t>
    </w:r>
    <w:r w:rsidR="00D603A9">
      <w:rPr>
        <w:rFonts w:ascii="宋体" w:hAnsi="宋体"/>
        <w:sz w:val="28"/>
      </w:rPr>
      <w:fldChar w:fldCharType="begin"/>
    </w:r>
    <w:r>
      <w:rPr>
        <w:rStyle w:val="a4"/>
        <w:rFonts w:ascii="宋体" w:hAnsi="宋体"/>
        <w:sz w:val="28"/>
      </w:rPr>
      <w:instrText xml:space="preserve">PAGE  </w:instrText>
    </w:r>
    <w:r w:rsidR="00D603A9">
      <w:rPr>
        <w:rFonts w:ascii="宋体" w:hAnsi="宋体"/>
        <w:sz w:val="28"/>
      </w:rPr>
      <w:fldChar w:fldCharType="separate"/>
    </w:r>
    <w:r w:rsidR="0056671C">
      <w:rPr>
        <w:rStyle w:val="a4"/>
        <w:rFonts w:ascii="宋体" w:hAnsi="宋体"/>
        <w:noProof/>
        <w:sz w:val="28"/>
      </w:rPr>
      <w:t>1</w:t>
    </w:r>
    <w:r w:rsidR="00D603A9">
      <w:rPr>
        <w:rFonts w:ascii="宋体" w:hAnsi="宋体"/>
        <w:sz w:val="28"/>
      </w:rPr>
      <w:fldChar w:fldCharType="end"/>
    </w:r>
    <w:r>
      <w:rPr>
        <w:rStyle w:val="a4"/>
        <w:rFonts w:ascii="宋体" w:hAnsi="宋体" w:hint="eastAsia"/>
        <w:sz w:val="28"/>
      </w:rPr>
      <w:t xml:space="preserve"> —</w:t>
    </w:r>
  </w:p>
  <w:p w:rsidR="00591BA2" w:rsidRDefault="00591BA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67" w:rsidRDefault="00C31B67">
      <w:r>
        <w:separator/>
      </w:r>
    </w:p>
  </w:footnote>
  <w:footnote w:type="continuationSeparator" w:id="0">
    <w:p w:rsidR="00C31B67" w:rsidRDefault="00C31B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CB4"/>
    <w:rsid w:val="00060CB4"/>
    <w:rsid w:val="00061C1B"/>
    <w:rsid w:val="000822D0"/>
    <w:rsid w:val="000E3377"/>
    <w:rsid w:val="000F2CCC"/>
    <w:rsid w:val="00105F81"/>
    <w:rsid w:val="001200C0"/>
    <w:rsid w:val="0013432D"/>
    <w:rsid w:val="001E058A"/>
    <w:rsid w:val="002151C6"/>
    <w:rsid w:val="00287379"/>
    <w:rsid w:val="002F1A1F"/>
    <w:rsid w:val="003A1CA7"/>
    <w:rsid w:val="00456F52"/>
    <w:rsid w:val="0049747D"/>
    <w:rsid w:val="004D2474"/>
    <w:rsid w:val="004E4935"/>
    <w:rsid w:val="005231B4"/>
    <w:rsid w:val="0056671C"/>
    <w:rsid w:val="00591BA2"/>
    <w:rsid w:val="005D3D12"/>
    <w:rsid w:val="00612E47"/>
    <w:rsid w:val="00661BBE"/>
    <w:rsid w:val="006B544C"/>
    <w:rsid w:val="007D7810"/>
    <w:rsid w:val="007E208E"/>
    <w:rsid w:val="00881F93"/>
    <w:rsid w:val="009E6BD9"/>
    <w:rsid w:val="00AD6030"/>
    <w:rsid w:val="00AF2F50"/>
    <w:rsid w:val="00B3449C"/>
    <w:rsid w:val="00B378AB"/>
    <w:rsid w:val="00C31B67"/>
    <w:rsid w:val="00D307AE"/>
    <w:rsid w:val="00D603A9"/>
    <w:rsid w:val="00F21662"/>
    <w:rsid w:val="00F34403"/>
    <w:rsid w:val="00F50AFE"/>
    <w:rsid w:val="08577C56"/>
    <w:rsid w:val="165B4E46"/>
    <w:rsid w:val="1A696601"/>
    <w:rsid w:val="1AC4100B"/>
    <w:rsid w:val="1CDB4964"/>
    <w:rsid w:val="203F173A"/>
    <w:rsid w:val="277F2FF5"/>
    <w:rsid w:val="2B2871A5"/>
    <w:rsid w:val="2B8A26E2"/>
    <w:rsid w:val="2F7016CC"/>
    <w:rsid w:val="42F95C2A"/>
    <w:rsid w:val="43A97897"/>
    <w:rsid w:val="45D15DB9"/>
    <w:rsid w:val="466870E9"/>
    <w:rsid w:val="4A173A8B"/>
    <w:rsid w:val="4A551AA1"/>
    <w:rsid w:val="4DC03F0D"/>
    <w:rsid w:val="50562289"/>
    <w:rsid w:val="537D0ED0"/>
    <w:rsid w:val="577E16B8"/>
    <w:rsid w:val="589934BD"/>
    <w:rsid w:val="5A747DCC"/>
    <w:rsid w:val="796C5A9B"/>
    <w:rsid w:val="7A602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1C6"/>
    <w:pPr>
      <w:widowControl w:val="0"/>
      <w:jc w:val="both"/>
    </w:pPr>
    <w:rPr>
      <w:rFonts w:eastAsia="仿宋"/>
      <w:kern w:val="2"/>
      <w:sz w:val="32"/>
      <w:szCs w:val="32"/>
    </w:rPr>
  </w:style>
  <w:style w:type="paragraph" w:styleId="3">
    <w:name w:val="heading 3"/>
    <w:basedOn w:val="a"/>
    <w:link w:val="3Char"/>
    <w:uiPriority w:val="9"/>
    <w:qFormat/>
    <w:rsid w:val="0013432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2151C6"/>
    <w:pPr>
      <w:tabs>
        <w:tab w:val="center" w:pos="4153"/>
        <w:tab w:val="right" w:pos="8306"/>
      </w:tabs>
      <w:snapToGrid w:val="0"/>
      <w:jc w:val="left"/>
    </w:pPr>
    <w:rPr>
      <w:rFonts w:eastAsia="Times New Roman"/>
      <w:kern w:val="0"/>
      <w:sz w:val="18"/>
      <w:szCs w:val="18"/>
    </w:rPr>
  </w:style>
  <w:style w:type="character" w:styleId="a4">
    <w:name w:val="page number"/>
    <w:basedOn w:val="a0"/>
    <w:qFormat/>
    <w:rsid w:val="002151C6"/>
  </w:style>
  <w:style w:type="paragraph" w:styleId="a5">
    <w:name w:val="header"/>
    <w:basedOn w:val="a"/>
    <w:link w:val="Char"/>
    <w:rsid w:val="00F34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34403"/>
    <w:rPr>
      <w:rFonts w:eastAsia="仿宋"/>
      <w:kern w:val="2"/>
      <w:sz w:val="18"/>
      <w:szCs w:val="18"/>
    </w:rPr>
  </w:style>
  <w:style w:type="paragraph" w:styleId="a6">
    <w:name w:val="Normal (Web)"/>
    <w:basedOn w:val="a"/>
    <w:uiPriority w:val="99"/>
    <w:unhideWhenUsed/>
    <w:rsid w:val="0049747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9747D"/>
    <w:rPr>
      <w:b/>
      <w:bCs/>
    </w:rPr>
  </w:style>
  <w:style w:type="character" w:styleId="a8">
    <w:name w:val="Hyperlink"/>
    <w:basedOn w:val="a0"/>
    <w:uiPriority w:val="99"/>
    <w:unhideWhenUsed/>
    <w:rsid w:val="00AD6030"/>
    <w:rPr>
      <w:color w:val="0000FF"/>
      <w:u w:val="single"/>
    </w:rPr>
  </w:style>
  <w:style w:type="paragraph" w:styleId="a9">
    <w:name w:val="List Paragraph"/>
    <w:basedOn w:val="a"/>
    <w:uiPriority w:val="99"/>
    <w:unhideWhenUsed/>
    <w:rsid w:val="00061C1B"/>
    <w:pPr>
      <w:ind w:firstLineChars="200" w:firstLine="420"/>
    </w:pPr>
  </w:style>
  <w:style w:type="character" w:customStyle="1" w:styleId="3Char">
    <w:name w:val="标题 3 Char"/>
    <w:basedOn w:val="a0"/>
    <w:link w:val="3"/>
    <w:uiPriority w:val="9"/>
    <w:rsid w:val="0013432D"/>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eastAsia="Times New Roman"/>
      <w:kern w:val="0"/>
      <w:sz w:val="18"/>
      <w:szCs w:val="18"/>
    </w:rPr>
  </w:style>
  <w:style w:type="character" w:styleId="a4">
    <w:name w:val="page number"/>
    <w:basedOn w:val="a0"/>
    <w:qFormat/>
  </w:style>
  <w:style w:type="paragraph" w:styleId="a5">
    <w:name w:val="header"/>
    <w:basedOn w:val="a"/>
    <w:link w:val="Char"/>
    <w:rsid w:val="00F34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34403"/>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w:divs>
    <w:div w:id="223679967">
      <w:bodyDiv w:val="1"/>
      <w:marLeft w:val="0"/>
      <w:marRight w:val="0"/>
      <w:marTop w:val="0"/>
      <w:marBottom w:val="0"/>
      <w:divBdr>
        <w:top w:val="none" w:sz="0" w:space="0" w:color="auto"/>
        <w:left w:val="none" w:sz="0" w:space="0" w:color="auto"/>
        <w:bottom w:val="none" w:sz="0" w:space="0" w:color="auto"/>
        <w:right w:val="none" w:sz="0" w:space="0" w:color="auto"/>
      </w:divBdr>
    </w:div>
    <w:div w:id="463743747">
      <w:bodyDiv w:val="1"/>
      <w:marLeft w:val="0"/>
      <w:marRight w:val="0"/>
      <w:marTop w:val="0"/>
      <w:marBottom w:val="0"/>
      <w:divBdr>
        <w:top w:val="none" w:sz="0" w:space="0" w:color="auto"/>
        <w:left w:val="none" w:sz="0" w:space="0" w:color="auto"/>
        <w:bottom w:val="none" w:sz="0" w:space="0" w:color="auto"/>
        <w:right w:val="none" w:sz="0" w:space="0" w:color="auto"/>
      </w:divBdr>
    </w:div>
    <w:div w:id="481502688">
      <w:bodyDiv w:val="1"/>
      <w:marLeft w:val="0"/>
      <w:marRight w:val="0"/>
      <w:marTop w:val="0"/>
      <w:marBottom w:val="0"/>
      <w:divBdr>
        <w:top w:val="none" w:sz="0" w:space="0" w:color="auto"/>
        <w:left w:val="none" w:sz="0" w:space="0" w:color="auto"/>
        <w:bottom w:val="none" w:sz="0" w:space="0" w:color="auto"/>
        <w:right w:val="none" w:sz="0" w:space="0" w:color="auto"/>
      </w:divBdr>
    </w:div>
    <w:div w:id="953096005">
      <w:bodyDiv w:val="1"/>
      <w:marLeft w:val="0"/>
      <w:marRight w:val="0"/>
      <w:marTop w:val="0"/>
      <w:marBottom w:val="0"/>
      <w:divBdr>
        <w:top w:val="none" w:sz="0" w:space="0" w:color="auto"/>
        <w:left w:val="none" w:sz="0" w:space="0" w:color="auto"/>
        <w:bottom w:val="none" w:sz="0" w:space="0" w:color="auto"/>
        <w:right w:val="none" w:sz="0" w:space="0" w:color="auto"/>
      </w:divBdr>
    </w:div>
    <w:div w:id="1176773852">
      <w:bodyDiv w:val="1"/>
      <w:marLeft w:val="0"/>
      <w:marRight w:val="0"/>
      <w:marTop w:val="0"/>
      <w:marBottom w:val="0"/>
      <w:divBdr>
        <w:top w:val="none" w:sz="0" w:space="0" w:color="auto"/>
        <w:left w:val="none" w:sz="0" w:space="0" w:color="auto"/>
        <w:bottom w:val="none" w:sz="0" w:space="0" w:color="auto"/>
        <w:right w:val="none" w:sz="0" w:space="0" w:color="auto"/>
      </w:divBdr>
    </w:div>
    <w:div w:id="1940091429">
      <w:bodyDiv w:val="1"/>
      <w:marLeft w:val="0"/>
      <w:marRight w:val="0"/>
      <w:marTop w:val="0"/>
      <w:marBottom w:val="0"/>
      <w:divBdr>
        <w:top w:val="none" w:sz="0" w:space="0" w:color="auto"/>
        <w:left w:val="none" w:sz="0" w:space="0" w:color="auto"/>
        <w:bottom w:val="none" w:sz="0" w:space="0" w:color="auto"/>
        <w:right w:val="none" w:sz="0" w:space="0" w:color="auto"/>
      </w:divBdr>
    </w:div>
    <w:div w:id="1995374620">
      <w:bodyDiv w:val="1"/>
      <w:marLeft w:val="0"/>
      <w:marRight w:val="0"/>
      <w:marTop w:val="0"/>
      <w:marBottom w:val="0"/>
      <w:divBdr>
        <w:top w:val="none" w:sz="0" w:space="0" w:color="auto"/>
        <w:left w:val="none" w:sz="0" w:space="0" w:color="auto"/>
        <w:bottom w:val="none" w:sz="0" w:space="0" w:color="auto"/>
        <w:right w:val="none" w:sz="0" w:space="0" w:color="auto"/>
      </w:divBdr>
    </w:div>
    <w:div w:id="214476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745</Words>
  <Characters>4247</Characters>
  <Application>Microsoft Office Word</Application>
  <DocSecurity>0</DocSecurity>
  <Lines>35</Lines>
  <Paragraphs>9</Paragraphs>
  <ScaleCrop>false</ScaleCrop>
  <Company>Microsoft</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刘风芹</cp:lastModifiedBy>
  <cp:revision>3</cp:revision>
  <cp:lastPrinted>2020-09-02T00:33:00Z</cp:lastPrinted>
  <dcterms:created xsi:type="dcterms:W3CDTF">2020-09-02T06:36:00Z</dcterms:created>
  <dcterms:modified xsi:type="dcterms:W3CDTF">2020-09-02T06:48:00Z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