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>0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不合格项目说明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山梨酸及其钾盐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山梨酸及其钾盐属于酸性防腐剂，对霉菌、酵母菌和好氧性细菌活性有较好的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2"/>
          <w:szCs w:val="32"/>
        </w:rPr>
        <w:t>抑制作用。《食品安全国家标准 食品添加剂使用标准》（GB 2760）</w:t>
      </w:r>
      <w:r>
        <w:rPr>
          <w:rFonts w:hint="eastAsia" w:eastAsia="仿宋"/>
          <w:color w:val="000000"/>
          <w:sz w:val="32"/>
          <w:szCs w:val="32"/>
        </w:rPr>
        <w:t>未规定</w:t>
      </w:r>
      <w:r>
        <w:rPr>
          <w:rFonts w:hint="eastAsia" w:eastAsia="仿宋_GB2312"/>
          <w:color w:val="000000"/>
          <w:sz w:val="32"/>
          <w:szCs w:val="32"/>
        </w:rPr>
        <w:t>馒头（发酵面制品）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中允许使用山梨酸及其钾盐，</w:t>
      </w:r>
      <w:r>
        <w:rPr>
          <w:rFonts w:hint="eastAsia" w:eastAsia="仿宋"/>
          <w:color w:val="000000"/>
          <w:sz w:val="32"/>
          <w:szCs w:val="32"/>
        </w:rPr>
        <w:t>即表明不得使用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铝的残留量</w:t>
      </w:r>
    </w:p>
    <w:p>
      <w:pPr>
        <w:pStyle w:val="9"/>
        <w:widowControl w:val="0"/>
        <w:adjustRightInd w:val="0"/>
        <w:snapToGrid w:val="0"/>
        <w:spacing w:line="580" w:lineRule="exact"/>
        <w:ind w:firstLine="640" w:firstLineChars="200"/>
        <w:rPr>
          <w:rFonts w:ascii="仿宋_GB2312" w:eastAsia="仿宋_GB2312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硫酸铝钾（又名钾明矾），硫酸铝铵（又名铵明矾）是食品加工中常用的膨松剂和稳定剂，使用后产生铝残留。《食品安全国家标准 食品添加剂使用标准》（GB 2760）规定，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明矾在腌制水产品（仅限海蜇）中可以按照生产需要适量添加，但铝的残留量应≤500mg/kg（以即食海蜇中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>Al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计）。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腐霉利属于低毒性杀菌剂，</w:t>
      </w:r>
      <w:r>
        <w:rPr>
          <w:rFonts w:hint="eastAsia" w:eastAsia="仿宋_GB2312"/>
          <w:color w:val="000000"/>
          <w:sz w:val="32"/>
          <w:szCs w:val="32"/>
        </w:rPr>
        <w:t>主要用于果树、蔬菜作物的灰霉病、菌核病、褐腐病防治。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《食品安全国家标准 食品中农药最大残留限量》（GB 2763）规定，韭菜中腐霉利的最大残留限量为0.2 mg/kg。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592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eastAsia="黑体"/>
          <w:color w:val="000000"/>
          <w:spacing w:val="-12"/>
          <w:sz w:val="32"/>
          <w:szCs w:val="32"/>
        </w:rPr>
        <w:t>诺氟</w:t>
      </w:r>
      <w:r>
        <w:rPr>
          <w:rFonts w:hint="eastAsia" w:ascii="黑体" w:hAnsi="黑体" w:eastAsia="黑体"/>
          <w:color w:val="000000"/>
          <w:spacing w:val="-12"/>
          <w:sz w:val="32"/>
          <w:szCs w:val="32"/>
        </w:rPr>
        <w:t>沙星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诺氟沙星</w:t>
      </w:r>
      <w:r>
        <w:rPr>
          <w:rFonts w:ascii="仿宋_GB2312" w:eastAsia="仿宋_GB2312"/>
          <w:bCs/>
          <w:color w:val="000000"/>
          <w:sz w:val="32"/>
          <w:szCs w:val="32"/>
        </w:rPr>
        <w:t>属于氟喹诺酮类药物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是一种广谱类杀菌剂。</w:t>
      </w:r>
      <w:r>
        <w:rPr>
          <w:rFonts w:ascii="仿宋_GB2312" w:eastAsia="仿宋_GB2312"/>
          <w:bCs/>
          <w:color w:val="000000"/>
          <w:sz w:val="32"/>
          <w:szCs w:val="32"/>
        </w:rPr>
        <w:t>《发布在食品动物中停止使用洛美沙星、培氟沙星、氧氟沙星、诺氟沙星4种兽药的决定》（农业部公告第2292号）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中规定自2016年12月31日起，停止经营、使用用于食品动物的洛美沙星、培氟沙星、氧氟沙星、诺氟沙星4种原料药的各种盐、酯及其各种制剂</w:t>
      </w:r>
      <w:r>
        <w:rPr>
          <w:rFonts w:ascii="仿宋_GB2312" w:eastAsia="仿宋_GB2312"/>
          <w:bCs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目前</w:t>
      </w:r>
      <w:r>
        <w:rPr>
          <w:rFonts w:ascii="仿宋_GB2312" w:eastAsia="仿宋_GB2312"/>
          <w:bCs/>
          <w:color w:val="000000"/>
          <w:sz w:val="32"/>
          <w:szCs w:val="32"/>
        </w:rPr>
        <w:t>在动物性食品中不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</w:t>
      </w:r>
      <w:r>
        <w:rPr>
          <w:rFonts w:ascii="仿宋_GB2312" w:eastAsia="仿宋_GB2312"/>
          <w:bCs/>
          <w:color w:val="000000"/>
          <w:sz w:val="32"/>
          <w:szCs w:val="32"/>
        </w:rPr>
        <w:t>检出。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黑体" w:eastAsia="黑体"/>
          <w:color w:val="000000"/>
          <w:sz w:val="32"/>
          <w:szCs w:val="32"/>
        </w:rPr>
        <w:t>恩诺沙星</w:t>
      </w:r>
    </w:p>
    <w:p>
      <w:pPr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恩诺沙星，又名恩氟奎林羧酸，属于氟喹诺酮类药物，是一种化学合成的广谱抑菌剂，用于治疗动物的皮肤感染、呼吸道感染等，是动物专属用药。</w:t>
      </w:r>
      <w:bookmarkStart w:id="0" w:name="OLE_LINK1"/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《食品安全国家标准 食品中兽药最大残留限量》（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GB 31650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）</w:t>
      </w:r>
      <w:bookmarkEnd w:id="0"/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规定，鱼中恩诺沙星(以恩诺沙星与环丙沙星之和计)应不超过100 μg/kg。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大肠菌群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黑体"/>
          <w:color w:val="000000"/>
          <w:sz w:val="32"/>
          <w:szCs w:val="32"/>
        </w:rPr>
      </w:pP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大肠菌群是国内外通用的食品污染常用指示菌之一。食品及餐饮具中检出大肠菌群，提示被肠道致病菌污染的可能性较大。</w:t>
      </w:r>
      <w:r>
        <w:rPr>
          <w:rFonts w:ascii="仿宋_GB2312" w:hAnsi="Calibri" w:eastAsia="仿宋_GB2312" w:cs="黑体"/>
          <w:color w:val="000000"/>
          <w:sz w:val="32"/>
          <w:szCs w:val="32"/>
        </w:rPr>
        <w:t>《食品安全国家标准 消毒餐（饮）具》（GB 14934）规定消毒餐（饮）具中大肠菌群不得检出。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《</w:t>
      </w:r>
      <w:r>
        <w:rPr>
          <w:rFonts w:ascii="仿宋_GB2312" w:hAnsi="Calibri" w:eastAsia="仿宋_GB2312" w:cs="黑体"/>
          <w:color w:val="000000"/>
          <w:sz w:val="32"/>
          <w:szCs w:val="32"/>
        </w:rPr>
        <w:t>食品安全国家标准 冷冻饮品和制作料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》（</w:t>
      </w:r>
      <w:r>
        <w:rPr>
          <w:rFonts w:ascii="仿宋_GB2312" w:hAnsi="Calibri" w:eastAsia="仿宋_GB2312" w:cs="黑体"/>
          <w:color w:val="000000"/>
          <w:sz w:val="32"/>
          <w:szCs w:val="32"/>
        </w:rPr>
        <w:t>GB 2759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）对雪糕中的大肠菌群</w:t>
      </w:r>
      <w:r>
        <w:rPr>
          <w:rFonts w:hint="eastAsia" w:eastAsia="仿宋_GB2312"/>
          <w:bCs/>
          <w:color w:val="000000"/>
          <w:sz w:val="32"/>
          <w:szCs w:val="32"/>
        </w:rPr>
        <w:t>规定同批次5个独立包装产品中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大肠菌群</w:t>
      </w:r>
      <w:r>
        <w:rPr>
          <w:rFonts w:hint="eastAsia" w:eastAsia="仿宋_GB2312"/>
          <w:bCs/>
          <w:color w:val="000000"/>
          <w:sz w:val="32"/>
          <w:szCs w:val="32"/>
        </w:rPr>
        <w:t>检测结果不允许有超过</w:t>
      </w:r>
      <w:r>
        <w:rPr>
          <w:rFonts w:ascii="仿宋_GB2312" w:hAnsi="Calibri" w:eastAsia="仿宋_GB2312" w:cs="黑体"/>
          <w:color w:val="000000"/>
          <w:sz w:val="32"/>
          <w:szCs w:val="32"/>
        </w:rPr>
        <w:t>10</w:t>
      </w:r>
      <w:r>
        <w:rPr>
          <w:rFonts w:ascii="仿宋_GB2312" w:hAnsi="Calibri" w:eastAsia="仿宋_GB2312" w:cs="黑体"/>
          <w:color w:val="000000"/>
          <w:sz w:val="32"/>
          <w:szCs w:val="32"/>
          <w:vertAlign w:val="superscript"/>
        </w:rPr>
        <w:t xml:space="preserve">2 </w:t>
      </w:r>
      <w:r>
        <w:rPr>
          <w:rFonts w:ascii="仿宋_GB2312" w:hAnsi="Calibri" w:eastAsia="仿宋_GB2312" w:cs="黑体"/>
          <w:color w:val="000000"/>
          <w:sz w:val="32"/>
          <w:szCs w:val="32"/>
        </w:rPr>
        <w:t>CFU/g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的，</w:t>
      </w:r>
      <w:r>
        <w:rPr>
          <w:rFonts w:hint="eastAsia" w:eastAsia="仿宋_GB2312"/>
          <w:bCs/>
          <w:color w:val="000000"/>
          <w:sz w:val="32"/>
          <w:szCs w:val="32"/>
        </w:rPr>
        <w:t>且至少3个包装产品检测结果不超过</w:t>
      </w:r>
      <w:r>
        <w:rPr>
          <w:rFonts w:ascii="仿宋_GB2312" w:hAnsi="Calibri" w:eastAsia="仿宋_GB2312" w:cs="黑体"/>
          <w:color w:val="000000"/>
          <w:sz w:val="32"/>
          <w:szCs w:val="32"/>
        </w:rPr>
        <w:t>10 CFU/g</w:t>
      </w:r>
      <w:r>
        <w:rPr>
          <w:rFonts w:hint="eastAsia" w:ascii="仿宋_GB2312" w:hAnsi="Calibri" w:eastAsia="仿宋_GB2312" w:cs="黑体"/>
          <w:color w:val="000000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2762）中规定鲜、冻水产动物头足类中镉的限量值为</w:t>
      </w:r>
      <w:r>
        <w:rPr>
          <w:rFonts w:ascii="仿宋_GB2312" w:hAnsi="仿宋" w:eastAsia="仿宋_GB2312" w:cs="仿宋"/>
          <w:color w:val="000000"/>
          <w:sz w:val="32"/>
          <w:szCs w:val="32"/>
        </w:rPr>
        <w:t>2.0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mg/kg。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噻虫嗪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噻虫嗪是一种全新结构的第二代烟碱类高效低毒杀虫剂，用于叶面喷雾及土壤灌根处理。其施药后迅速被内吸，并传导到植株各部位，对刺吸式害虫如蚜虫、飞虱、叶蝉、粉虱等有良好的防效。</w:t>
      </w:r>
      <w:r>
        <w:rPr>
          <w:rFonts w:eastAsia="仿宋_GB2312"/>
          <w:bCs/>
          <w:color w:val="000000"/>
          <w:sz w:val="32"/>
          <w:szCs w:val="32"/>
        </w:rPr>
        <w:t>《</w:t>
      </w:r>
      <w:r>
        <w:rPr>
          <w:rFonts w:hint="eastAsia" w:eastAsia="仿宋_GB2312"/>
          <w:bCs/>
          <w:color w:val="000000"/>
          <w:sz w:val="32"/>
          <w:szCs w:val="32"/>
        </w:rPr>
        <w:t>食品安全国家标准 食品中农药最大残留限量</w:t>
      </w:r>
      <w:r>
        <w:rPr>
          <w:rFonts w:eastAsia="仿宋_GB2312"/>
          <w:bCs/>
          <w:color w:val="000000"/>
          <w:sz w:val="32"/>
          <w:szCs w:val="32"/>
        </w:rPr>
        <w:t>》</w:t>
      </w:r>
      <w:r>
        <w:rPr>
          <w:rFonts w:hint="eastAsia" w:eastAsia="仿宋_GB2312"/>
          <w:bCs/>
          <w:color w:val="000000"/>
          <w:sz w:val="32"/>
          <w:szCs w:val="32"/>
        </w:rPr>
        <w:t>（GB 2763）</w:t>
      </w:r>
      <w:r>
        <w:rPr>
          <w:rFonts w:eastAsia="仿宋_GB2312"/>
          <w:bCs/>
          <w:color w:val="000000"/>
          <w:sz w:val="32"/>
          <w:szCs w:val="32"/>
        </w:rPr>
        <w:t>规定，根茎类蔬菜中</w:t>
      </w:r>
      <w:r>
        <w:rPr>
          <w:rFonts w:hint="eastAsia" w:eastAsia="仿宋_GB2312"/>
          <w:bCs/>
          <w:color w:val="000000"/>
          <w:sz w:val="32"/>
          <w:szCs w:val="32"/>
        </w:rPr>
        <w:t>噻虫嗪</w:t>
      </w:r>
      <w:r>
        <w:rPr>
          <w:rFonts w:eastAsia="仿宋_GB2312"/>
          <w:bCs/>
          <w:color w:val="000000"/>
          <w:sz w:val="32"/>
          <w:szCs w:val="32"/>
        </w:rPr>
        <w:t>的最大残留限量为0.3</w:t>
      </w:r>
      <w:r>
        <w:rPr>
          <w:rFonts w:hint="eastAsia" w:eastAsia="仿宋_GB2312"/>
          <w:bCs/>
          <w:color w:val="000000"/>
          <w:sz w:val="32"/>
          <w:szCs w:val="32"/>
        </w:rPr>
        <w:t xml:space="preserve"> </w:t>
      </w:r>
      <w:r>
        <w:rPr>
          <w:rFonts w:eastAsia="仿宋_GB2312"/>
          <w:bCs/>
          <w:color w:val="000000"/>
          <w:sz w:val="32"/>
          <w:szCs w:val="32"/>
        </w:rPr>
        <w:t>mg/kg。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80" w:lineRule="exact"/>
        <w:ind w:left="0"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五氯酚酸钠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五氯酚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酸钠属于有机氯农药，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可用作除草剂和杀菌剂，易溶于水，容易进入水和土壤中，经环境累积，进入饲料用植物中，通过食物链进入动物内。《食品动物中禁止使用的药品及其他化合物清单》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农业农村部公告第250号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食品动物中禁止使用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五氯酚酸钠。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甲拌磷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甲拌磷是一种有机磷类广谱、内吸杀虫剂、杀螨剂，对害虫具有触杀、胃毒、熏蒸作用，属高毒农药。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农业部规定蔬菜中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禁止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使用甲拌磷。《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食品安全国家标准 食品中农药最大残留限量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（GB 2763）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规定，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叶菜类蔬菜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中甲拌磷的最大残留限量为0.01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mg/kg。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6-苄基腺嘌呤</w:t>
      </w:r>
      <w:r>
        <w:rPr>
          <w:rFonts w:hint="eastAsia" w:eastAsia="黑体"/>
          <w:color w:val="000000"/>
          <w:sz w:val="32"/>
          <w:szCs w:val="32"/>
        </w:rPr>
        <w:t>（</w:t>
      </w:r>
      <w:r>
        <w:rPr>
          <w:rFonts w:eastAsia="黑体"/>
          <w:color w:val="000000"/>
          <w:sz w:val="32"/>
          <w:szCs w:val="32"/>
        </w:rPr>
        <w:t>6-BA</w:t>
      </w:r>
      <w:r>
        <w:rPr>
          <w:rFonts w:hint="eastAsia" w:eastAsia="黑体"/>
          <w:color w:val="000000"/>
          <w:sz w:val="32"/>
          <w:szCs w:val="32"/>
        </w:rPr>
        <w:t>）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eastAsia="仿宋_GB2312" w:cs="黑体"/>
          <w:color w:val="000000"/>
          <w:sz w:val="32"/>
          <w:szCs w:val="32"/>
        </w:rPr>
      </w:pPr>
      <w:r>
        <w:rPr>
          <w:rFonts w:eastAsia="仿宋_GB2312" w:cs="黑体"/>
          <w:color w:val="000000"/>
          <w:sz w:val="32"/>
          <w:szCs w:val="32"/>
        </w:rPr>
        <w:t>6-苄基腺嘌呤</w:t>
      </w:r>
      <w:r>
        <w:rPr>
          <w:rFonts w:hint="eastAsia" w:eastAsia="仿宋_GB2312" w:cs="黑体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6-BA</w:t>
      </w:r>
      <w:r>
        <w:rPr>
          <w:rFonts w:hint="eastAsia" w:eastAsia="仿宋_GB2312" w:cs="黑体"/>
          <w:color w:val="000000"/>
          <w:sz w:val="32"/>
          <w:szCs w:val="32"/>
        </w:rPr>
        <w:t>）</w:t>
      </w:r>
      <w:r>
        <w:rPr>
          <w:rFonts w:eastAsia="仿宋_GB2312" w:cs="黑体"/>
          <w:color w:val="000000"/>
          <w:sz w:val="32"/>
          <w:szCs w:val="32"/>
        </w:rPr>
        <w:t>是植物生长调节剂。主要用于防止落花落果、抑制豆类生根，并能调节植物株内激素的平衡。但由于其对人体有一定积累毒性，《国家食品药品监督管理总局、农业部、国家卫生和计划生育委员会关于豆芽生产过程中禁止使用6-苄基腺嘌呤等物质的公告》（2015年第11号）规定豆芽生产经营过程中禁止使用6-苄基腺嘌呤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菌落总数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菌落总数是指示性微生物指标，主要用来评价食品清洁度，反映食品在生产过程中是否符合卫生要求。《</w:t>
      </w:r>
      <w:r>
        <w:rPr>
          <w:rFonts w:ascii="仿宋_GB2312" w:eastAsia="仿宋_GB2312"/>
          <w:bCs/>
          <w:color w:val="000000"/>
          <w:sz w:val="32"/>
          <w:szCs w:val="32"/>
        </w:rPr>
        <w:t>食品安全国家标准 冷冻饮品和制作料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》（</w:t>
      </w:r>
      <w:r>
        <w:rPr>
          <w:rFonts w:ascii="仿宋_GB2312" w:eastAsia="仿宋_GB2312"/>
          <w:bCs/>
          <w:color w:val="000000"/>
          <w:sz w:val="32"/>
          <w:szCs w:val="32"/>
        </w:rPr>
        <w:t>GB 2759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）对雪糕中</w:t>
      </w:r>
      <w:r>
        <w:rPr>
          <w:rFonts w:ascii="仿宋_GB2312" w:eastAsia="仿宋_GB2312"/>
          <w:bCs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菌落总数</w:t>
      </w:r>
      <w:r>
        <w:rPr>
          <w:rFonts w:hint="eastAsia" w:eastAsia="仿宋_GB2312"/>
          <w:bCs/>
          <w:color w:val="000000"/>
          <w:sz w:val="32"/>
          <w:szCs w:val="32"/>
        </w:rPr>
        <w:t>规定同批次5个独立包装产品中菌落总数检测结果不允许有超过</w:t>
      </w:r>
      <w:r>
        <w:rPr>
          <w:rFonts w:ascii="仿宋_GB2312" w:eastAsia="仿宋_GB2312"/>
          <w:bCs/>
          <w:color w:val="000000"/>
          <w:sz w:val="32"/>
          <w:szCs w:val="32"/>
        </w:rPr>
        <w:t>10</w:t>
      </w:r>
      <w:r>
        <w:rPr>
          <w:rFonts w:ascii="仿宋_GB2312" w:eastAsia="仿宋_GB2312"/>
          <w:bCs/>
          <w:color w:val="000000"/>
          <w:sz w:val="32"/>
          <w:szCs w:val="32"/>
          <w:vertAlign w:val="superscript"/>
        </w:rPr>
        <w:t xml:space="preserve">5 </w:t>
      </w:r>
      <w:r>
        <w:rPr>
          <w:rFonts w:ascii="仿宋_GB2312" w:eastAsia="仿宋_GB2312"/>
          <w:bCs/>
          <w:color w:val="000000"/>
          <w:sz w:val="32"/>
          <w:szCs w:val="32"/>
        </w:rPr>
        <w:t>CFU/g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的，且至少</w:t>
      </w:r>
      <w:r>
        <w:rPr>
          <w:rFonts w:ascii="仿宋_GB2312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</w:t>
      </w:r>
      <w:r>
        <w:rPr>
          <w:rFonts w:hint="eastAsia" w:eastAsia="仿宋_GB2312"/>
          <w:bCs/>
          <w:color w:val="000000"/>
          <w:sz w:val="32"/>
          <w:szCs w:val="32"/>
        </w:rPr>
        <w:t>包装产品检测结果不超过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2.5×</w:t>
      </w:r>
      <w:r>
        <w:rPr>
          <w:rFonts w:ascii="仿宋_GB2312" w:eastAsia="仿宋_GB2312"/>
          <w:bCs/>
          <w:color w:val="000000"/>
          <w:sz w:val="32"/>
          <w:szCs w:val="32"/>
        </w:rPr>
        <w:t>10</w:t>
      </w:r>
      <w:r>
        <w:rPr>
          <w:rFonts w:ascii="仿宋_GB2312" w:eastAsia="仿宋_GB2312"/>
          <w:bCs/>
          <w:color w:val="000000"/>
          <w:sz w:val="32"/>
          <w:szCs w:val="32"/>
          <w:vertAlign w:val="superscript"/>
        </w:rPr>
        <w:t xml:space="preserve">4 </w:t>
      </w:r>
      <w:r>
        <w:rPr>
          <w:rFonts w:ascii="仿宋_GB2312" w:eastAsia="仿宋_GB2312"/>
          <w:bCs/>
          <w:color w:val="000000"/>
          <w:sz w:val="32"/>
          <w:szCs w:val="32"/>
        </w:rPr>
        <w:t>CFU/g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</w:t>
      </w:r>
    </w:p>
    <w:p>
      <w:pPr>
        <w:pStyle w:val="5"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82938818">
    <w:nsid w:val="703B5DC2"/>
    <w:multiLevelType w:val="multilevel"/>
    <w:tmpl w:val="703B5DC2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黑体" w:hAnsi="黑体" w:eastAsia="黑体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829388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GIAFMNbBeRUQ6EtcZbNKEaECYQs=" w:salt="SZpgU81i23Qq01JOanuJI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045"/>
    <w:rsid w:val="00082C9C"/>
    <w:rsid w:val="00097EC2"/>
    <w:rsid w:val="000A0EB8"/>
    <w:rsid w:val="000A2EEF"/>
    <w:rsid w:val="000C3C92"/>
    <w:rsid w:val="000C4DFB"/>
    <w:rsid w:val="000F7D55"/>
    <w:rsid w:val="00115D71"/>
    <w:rsid w:val="0016657F"/>
    <w:rsid w:val="0016674A"/>
    <w:rsid w:val="00176F93"/>
    <w:rsid w:val="001B4234"/>
    <w:rsid w:val="001C084C"/>
    <w:rsid w:val="00203CEF"/>
    <w:rsid w:val="00210759"/>
    <w:rsid w:val="00216F1A"/>
    <w:rsid w:val="002209C3"/>
    <w:rsid w:val="00227C98"/>
    <w:rsid w:val="00231227"/>
    <w:rsid w:val="0024384C"/>
    <w:rsid w:val="00263422"/>
    <w:rsid w:val="00287106"/>
    <w:rsid w:val="002B5A26"/>
    <w:rsid w:val="002D4079"/>
    <w:rsid w:val="002D76B0"/>
    <w:rsid w:val="002F1403"/>
    <w:rsid w:val="00320337"/>
    <w:rsid w:val="00335654"/>
    <w:rsid w:val="00346E01"/>
    <w:rsid w:val="00361E66"/>
    <w:rsid w:val="00385653"/>
    <w:rsid w:val="0039607F"/>
    <w:rsid w:val="003B0507"/>
    <w:rsid w:val="003C0FD6"/>
    <w:rsid w:val="004012A2"/>
    <w:rsid w:val="00414508"/>
    <w:rsid w:val="00430E21"/>
    <w:rsid w:val="00435ACC"/>
    <w:rsid w:val="00446771"/>
    <w:rsid w:val="00475C35"/>
    <w:rsid w:val="00490F04"/>
    <w:rsid w:val="00495F06"/>
    <w:rsid w:val="004A2980"/>
    <w:rsid w:val="004A7B13"/>
    <w:rsid w:val="004D0759"/>
    <w:rsid w:val="00507310"/>
    <w:rsid w:val="0051081B"/>
    <w:rsid w:val="00524DAE"/>
    <w:rsid w:val="005437A0"/>
    <w:rsid w:val="00557B9A"/>
    <w:rsid w:val="00580A7E"/>
    <w:rsid w:val="00585877"/>
    <w:rsid w:val="005A532E"/>
    <w:rsid w:val="005C3B9C"/>
    <w:rsid w:val="005D35D3"/>
    <w:rsid w:val="005E26BC"/>
    <w:rsid w:val="005E4129"/>
    <w:rsid w:val="005E7EC6"/>
    <w:rsid w:val="005F2ABB"/>
    <w:rsid w:val="005F4F4B"/>
    <w:rsid w:val="00615C9F"/>
    <w:rsid w:val="00630DC8"/>
    <w:rsid w:val="0065262F"/>
    <w:rsid w:val="00660E64"/>
    <w:rsid w:val="00686D3D"/>
    <w:rsid w:val="006A67A6"/>
    <w:rsid w:val="006C2263"/>
    <w:rsid w:val="007046E5"/>
    <w:rsid w:val="007231CF"/>
    <w:rsid w:val="007442C1"/>
    <w:rsid w:val="00762757"/>
    <w:rsid w:val="0076723A"/>
    <w:rsid w:val="007771CD"/>
    <w:rsid w:val="007955BC"/>
    <w:rsid w:val="007A6867"/>
    <w:rsid w:val="007E0D9E"/>
    <w:rsid w:val="007E2DBB"/>
    <w:rsid w:val="007E673A"/>
    <w:rsid w:val="008050BC"/>
    <w:rsid w:val="00827383"/>
    <w:rsid w:val="00830ABC"/>
    <w:rsid w:val="00853C2D"/>
    <w:rsid w:val="00872A98"/>
    <w:rsid w:val="00877733"/>
    <w:rsid w:val="00890F56"/>
    <w:rsid w:val="008C2B4D"/>
    <w:rsid w:val="00903A9D"/>
    <w:rsid w:val="00911DEC"/>
    <w:rsid w:val="00916DDB"/>
    <w:rsid w:val="00923D48"/>
    <w:rsid w:val="0093237C"/>
    <w:rsid w:val="009331A4"/>
    <w:rsid w:val="00941AB8"/>
    <w:rsid w:val="0094284A"/>
    <w:rsid w:val="00944899"/>
    <w:rsid w:val="00984FED"/>
    <w:rsid w:val="009C7045"/>
    <w:rsid w:val="00A007B4"/>
    <w:rsid w:val="00A40680"/>
    <w:rsid w:val="00A44B75"/>
    <w:rsid w:val="00A85D79"/>
    <w:rsid w:val="00A9410C"/>
    <w:rsid w:val="00AB52C9"/>
    <w:rsid w:val="00B16DD3"/>
    <w:rsid w:val="00B65241"/>
    <w:rsid w:val="00B87DF6"/>
    <w:rsid w:val="00BA7A5C"/>
    <w:rsid w:val="00BC6C8C"/>
    <w:rsid w:val="00C66001"/>
    <w:rsid w:val="00C91D58"/>
    <w:rsid w:val="00C92AC2"/>
    <w:rsid w:val="00CA542D"/>
    <w:rsid w:val="00CA6E01"/>
    <w:rsid w:val="00CB6EA1"/>
    <w:rsid w:val="00CC4DEC"/>
    <w:rsid w:val="00CE074F"/>
    <w:rsid w:val="00CF2DC1"/>
    <w:rsid w:val="00D35784"/>
    <w:rsid w:val="00D67F5E"/>
    <w:rsid w:val="00D70BCE"/>
    <w:rsid w:val="00D70DCF"/>
    <w:rsid w:val="00DA1484"/>
    <w:rsid w:val="00DC2436"/>
    <w:rsid w:val="00DC766E"/>
    <w:rsid w:val="00DE3228"/>
    <w:rsid w:val="00E00D5D"/>
    <w:rsid w:val="00E224EE"/>
    <w:rsid w:val="00E32844"/>
    <w:rsid w:val="00E4499E"/>
    <w:rsid w:val="00E53857"/>
    <w:rsid w:val="00E67BA4"/>
    <w:rsid w:val="00E67F3B"/>
    <w:rsid w:val="00E84511"/>
    <w:rsid w:val="00E84ACC"/>
    <w:rsid w:val="00EE3B7B"/>
    <w:rsid w:val="00F51004"/>
    <w:rsid w:val="00F76C16"/>
    <w:rsid w:val="00F9610F"/>
    <w:rsid w:val="00F97CA3"/>
    <w:rsid w:val="00FA014A"/>
    <w:rsid w:val="07AE2006"/>
    <w:rsid w:val="09776334"/>
    <w:rsid w:val="13515910"/>
    <w:rsid w:val="14BC6CC4"/>
    <w:rsid w:val="176820C2"/>
    <w:rsid w:val="1775494C"/>
    <w:rsid w:val="1831126E"/>
    <w:rsid w:val="1C2C6E58"/>
    <w:rsid w:val="1F9B28F8"/>
    <w:rsid w:val="20827181"/>
    <w:rsid w:val="209005FD"/>
    <w:rsid w:val="225C3C81"/>
    <w:rsid w:val="23E97F38"/>
    <w:rsid w:val="281026FA"/>
    <w:rsid w:val="299E2E0B"/>
    <w:rsid w:val="29FC4125"/>
    <w:rsid w:val="2A9E1780"/>
    <w:rsid w:val="32C0209F"/>
    <w:rsid w:val="333B066B"/>
    <w:rsid w:val="33B77259"/>
    <w:rsid w:val="380D2FFA"/>
    <w:rsid w:val="39997C19"/>
    <w:rsid w:val="3E2A1862"/>
    <w:rsid w:val="3E565C74"/>
    <w:rsid w:val="418A341C"/>
    <w:rsid w:val="43647A48"/>
    <w:rsid w:val="439A2AC1"/>
    <w:rsid w:val="465F0FDF"/>
    <w:rsid w:val="49F133DD"/>
    <w:rsid w:val="4A754998"/>
    <w:rsid w:val="4B0F4C04"/>
    <w:rsid w:val="4BA13A50"/>
    <w:rsid w:val="4BB3766A"/>
    <w:rsid w:val="4D0714C7"/>
    <w:rsid w:val="4F4B10EF"/>
    <w:rsid w:val="53D91CC8"/>
    <w:rsid w:val="5616109A"/>
    <w:rsid w:val="56D62CEE"/>
    <w:rsid w:val="57772CF1"/>
    <w:rsid w:val="577B6340"/>
    <w:rsid w:val="58030A90"/>
    <w:rsid w:val="5C6C6636"/>
    <w:rsid w:val="5D0578A1"/>
    <w:rsid w:val="5F235D60"/>
    <w:rsid w:val="60C1101C"/>
    <w:rsid w:val="61F0530B"/>
    <w:rsid w:val="61FD7005"/>
    <w:rsid w:val="62830167"/>
    <w:rsid w:val="645402A0"/>
    <w:rsid w:val="64B01203"/>
    <w:rsid w:val="676638DA"/>
    <w:rsid w:val="67A975C4"/>
    <w:rsid w:val="684E6F14"/>
    <w:rsid w:val="68FA22E2"/>
    <w:rsid w:val="6A58142C"/>
    <w:rsid w:val="6B0075F0"/>
    <w:rsid w:val="6D17077E"/>
    <w:rsid w:val="6DEC0CF9"/>
    <w:rsid w:val="6EC828CB"/>
    <w:rsid w:val="70771DBB"/>
    <w:rsid w:val="709B67CD"/>
    <w:rsid w:val="74210BA7"/>
    <w:rsid w:val="74BE04FC"/>
    <w:rsid w:val="75ED0473"/>
    <w:rsid w:val="77504EE4"/>
    <w:rsid w:val="78003728"/>
    <w:rsid w:val="7807013D"/>
    <w:rsid w:val="78997A7C"/>
    <w:rsid w:val="7B0559CF"/>
    <w:rsid w:val="7C7452C5"/>
    <w:rsid w:val="7E8258AE"/>
    <w:rsid w:val="7ECC4E9B"/>
    <w:rsid w:val="7F240109"/>
    <w:rsid w:val="7FD56A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4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6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4</Pages>
  <Words>264</Words>
  <Characters>1507</Characters>
  <Lines>12</Lines>
  <Paragraphs>3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2020-01-16T10:17:00Z</dcterms:created>
  <dc:creator>lenovo</dc:creator>
  <cp:lastModifiedBy>董廷俊</cp:lastModifiedBy>
  <dcterms:modified xsi:type="dcterms:W3CDTF">2020-09-03T11:26:51Z</dcterms:modified>
  <dc:title>附件20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