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安徽省地方标准编制说明</w:t>
      </w:r>
    </w:p>
    <w:tbl>
      <w:tblPr>
        <w:tblStyle w:val="5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36"/>
        <w:gridCol w:w="3001"/>
        <w:gridCol w:w="800"/>
        <w:gridCol w:w="1559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标准名称</w:t>
            </w:r>
          </w:p>
        </w:tc>
        <w:tc>
          <w:tcPr>
            <w:tcW w:w="7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病死及病害畜禽无害化综合处理生物安全风险评估技术规范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任务来源</w:t>
            </w:r>
          </w:p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（项目计划号）</w:t>
            </w:r>
          </w:p>
        </w:tc>
        <w:tc>
          <w:tcPr>
            <w:tcW w:w="7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auto"/>
                <w:szCs w:val="21"/>
              </w:rPr>
              <w:t>安徽省市场监督管理局《关于下达201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年第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批安徽省地方标准制修订计划的函》（皖市监函</w:t>
            </w:r>
            <w:r>
              <w:rPr>
                <w:rFonts w:hint="eastAsia"/>
                <w:color w:val="auto"/>
                <w:szCs w:val="21"/>
              </w:rPr>
              <w:t>〔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201</w:t>
            </w:r>
            <w:r>
              <w:rPr>
                <w:rFonts w:asciiTheme="minorEastAsia" w:hAnsiTheme="minorEastAsia"/>
                <w:color w:val="auto"/>
                <w:szCs w:val="21"/>
              </w:rPr>
              <w:t>9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〕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5</w:t>
            </w:r>
            <w:r>
              <w:rPr>
                <w:rFonts w:asciiTheme="minorEastAsia" w:hAnsiTheme="minorEastAsia"/>
                <w:color w:val="auto"/>
                <w:szCs w:val="21"/>
              </w:rPr>
              <w:t>10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号），项目计划号为</w:t>
            </w:r>
            <w:r>
              <w:rPr>
                <w:rFonts w:asciiTheme="minorEastAsia" w:hAnsiTheme="minorEastAsia"/>
                <w:color w:val="auto"/>
                <w:szCs w:val="21"/>
              </w:rPr>
              <w:t>201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9</w:t>
            </w:r>
            <w:r>
              <w:rPr>
                <w:rFonts w:asciiTheme="minorEastAsia" w:hAnsiTheme="minorEastAsia"/>
                <w:color w:val="auto"/>
                <w:szCs w:val="21"/>
              </w:rPr>
              <w:t>-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/>
                <w:color w:val="auto"/>
                <w:szCs w:val="21"/>
              </w:rPr>
              <w:t>-</w:t>
            </w:r>
            <w:r>
              <w:rPr>
                <w:rFonts w:hint="eastAsia" w:asciiTheme="minorEastAsia" w:hAnsiTheme="minorEastAsia"/>
                <w:color w:val="auto"/>
                <w:szCs w:val="21"/>
                <w:lang w:val="en-US" w:eastAsia="zh-CN"/>
              </w:rPr>
              <w:t>074</w:t>
            </w:r>
            <w:r>
              <w:rPr>
                <w:rFonts w:hint="eastAsia" w:asciiTheme="minorEastAsia" w:hAnsiTheme="minorEastAsia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负责起草单位</w:t>
            </w:r>
          </w:p>
        </w:tc>
        <w:tc>
          <w:tcPr>
            <w:tcW w:w="7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安徽省动物卫生监督所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单位地址</w:t>
            </w:r>
          </w:p>
        </w:tc>
        <w:tc>
          <w:tcPr>
            <w:tcW w:w="7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安徽省合肥市包河区洞庭湖路3355号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参与起草单位</w:t>
            </w:r>
          </w:p>
        </w:tc>
        <w:tc>
          <w:tcPr>
            <w:tcW w:w="78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eastAsia="宋体" w:cs="Times New Roman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阜阳市动物卫生监督所、太和县安泰动物无害化处理厂、</w:t>
            </w:r>
          </w:p>
          <w:p>
            <w:pPr>
              <w:pStyle w:val="10"/>
              <w:ind w:firstLine="0"/>
              <w:jc w:val="center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安徽省动物疫病预防与控制中心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tabs>
                <w:tab w:val="clear" w:pos="0"/>
              </w:tabs>
              <w:spacing w:beforeLines="0" w:afterLines="0"/>
              <w:ind w:firstLine="0"/>
              <w:rPr>
                <w:rFonts w:asciiTheme="minorEastAsia" w:hAnsiTheme="minorEastAsia" w:eastAsiaTheme="minorEastAsia"/>
                <w:b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Cs w:val="21"/>
              </w:rPr>
              <w:t>表1 标准起草人（全部起草人，应与标准文本前言中起草人排序一致）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职称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徐凤云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科长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13966671448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２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张家森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阜阳市动物卫生监督所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科长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15255822667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３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丁春水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科长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13956951643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４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洪功飞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安徽省动物疫病预防与控制中心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科长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18956048721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５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金晓宇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安徽省动物疫病预防与控制中心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18956048693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 xml:space="preserve">胡  </w:t>
            </w:r>
            <w:bookmarkStart w:id="30" w:name="_GoBack"/>
            <w:bookmarkEnd w:id="30"/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桢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助理兽医师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18010882361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７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姚淑娟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阜阳市动物卫生监督所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15155802286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8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徐  磊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阜阳市动物卫生监督所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13966804406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９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钱  瑜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助理兽医师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18656023120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 w:eastAsiaTheme="minorEastAsia"/>
                <w:sz w:val="18"/>
                <w:szCs w:val="22"/>
              </w:rPr>
            </w:pPr>
            <w:r>
              <w:rPr>
                <w:rFonts w:ascii="Times New Roman" w:hAnsi="Times New Roman" w:eastAsiaTheme="minorEastAsia"/>
                <w:sz w:val="18"/>
                <w:szCs w:val="22"/>
              </w:rPr>
              <w:t>10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张红璠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18956042177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11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陈  晨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="宋体"/>
                <w:sz w:val="18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助理兽医师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18956046136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12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嵇  斌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安徽省农业农村厅畜牧处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主任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18956048953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13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王振杰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</w:rPr>
              <w:t>太和县安泰动物无害化处理厂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技术经理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13085587971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14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</w:rPr>
              <w:t>李</w:t>
            </w: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sz w:val="18"/>
                <w:szCs w:val="22"/>
              </w:rPr>
              <w:t>郁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hint="eastAsia" w:ascii="Times New Roman" w:hAnsi="Times New Roman"/>
                <w:sz w:val="18"/>
                <w:szCs w:val="22"/>
              </w:rPr>
              <w:t xml:space="preserve">安徽农业大学   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教授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</w:rPr>
              <w:t>13955196369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15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李雪松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副所长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13095519507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 w:eastAsiaTheme="minorEastAsia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Theme="minorEastAsia"/>
                <w:sz w:val="18"/>
                <w:szCs w:val="22"/>
                <w:lang w:val="en-US" w:eastAsia="zh-CN"/>
              </w:rPr>
              <w:t>16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张士清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ascii="Times New Roman" w:hAnsi="Times New Roman"/>
                <w:sz w:val="18"/>
                <w:szCs w:val="22"/>
              </w:rPr>
            </w:pPr>
            <w:r>
              <w:rPr>
                <w:rFonts w:ascii="Times New Roman" w:hAnsi="Times New Roman"/>
                <w:sz w:val="18"/>
                <w:szCs w:val="22"/>
              </w:rPr>
              <w:t>安徽省动物卫生监督所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eastAsia" w:ascii="Times New Roman" w:hAnsi="Times New Roman" w:eastAsia="宋体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所长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高级兽医师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jc w:val="center"/>
              <w:rPr>
                <w:rFonts w:hint="default" w:ascii="Times New Roman" w:hAnsi="Times New Roman"/>
                <w:sz w:val="1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13505698148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420" w:firstLine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1、编制过程简介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（1）标准申请、批准和起草过程：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① 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月，我所</w:t>
            </w:r>
            <w:r>
              <w:rPr>
                <w:rFonts w:ascii="宋体" w:hAnsi="宋体"/>
                <w:color w:val="000000"/>
                <w:szCs w:val="21"/>
              </w:rPr>
              <w:t>向安徽省农业标准化技术委员会提出</w:t>
            </w:r>
            <w:r>
              <w:rPr>
                <w:rFonts w:hint="eastAsia" w:ascii="宋体" w:hAnsi="宋体"/>
                <w:color w:val="000000"/>
                <w:szCs w:val="21"/>
              </w:rPr>
              <w:t>了《</w:t>
            </w:r>
            <w:r>
              <w:rPr>
                <w:rFonts w:hint="eastAsia" w:eastAsia="宋体" w:cs="Times New Roman" w:asciiTheme="minorEastAsia" w:hAnsi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  <w:t>病死及病害畜禽无害化综合处理生物安全风险评估技术规范</w:t>
            </w:r>
            <w:r>
              <w:rPr>
                <w:rFonts w:hint="eastAsia" w:ascii="宋体" w:hAnsi="宋体"/>
                <w:color w:val="000000"/>
                <w:szCs w:val="21"/>
              </w:rPr>
              <w:t>》安徽省地方标准</w:t>
            </w:r>
            <w:r>
              <w:rPr>
                <w:rFonts w:ascii="宋体" w:hAnsi="宋体"/>
                <w:color w:val="000000"/>
                <w:szCs w:val="21"/>
              </w:rPr>
              <w:t>项目制定申请，</w:t>
            </w:r>
            <w:r>
              <w:rPr>
                <w:rFonts w:hint="eastAsia" w:ascii="宋体" w:hAnsi="宋体"/>
                <w:color w:val="000000"/>
                <w:szCs w:val="21"/>
              </w:rPr>
              <w:t>201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日安徽省市场监督管理局下发了《关于下达201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szCs w:val="21"/>
              </w:rPr>
              <w:t>批安徽省地方标准制修订计划的函》（皖市监函〔201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  <w:r>
              <w:rPr>
                <w:rFonts w:hint="eastAsia" w:ascii="宋体" w:hAnsi="宋体"/>
                <w:color w:val="000000"/>
                <w:szCs w:val="21"/>
              </w:rPr>
              <w:t>号），本技术规范被列入该计划，编号为</w:t>
            </w:r>
            <w:r>
              <w:rPr>
                <w:rFonts w:ascii="宋体" w:hAnsi="宋体"/>
                <w:color w:val="000000"/>
                <w:szCs w:val="21"/>
              </w:rPr>
              <w:t>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-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074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②201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月，答辩通过后，为了更好地推进标准修订相关工作，建立了由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徐凤云</w:t>
            </w:r>
            <w:r>
              <w:rPr>
                <w:rFonts w:hint="eastAsia" w:ascii="宋体" w:hAnsi="宋体"/>
                <w:color w:val="000000"/>
                <w:szCs w:val="21"/>
              </w:rPr>
              <w:t>负责，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张家森</w:t>
            </w:r>
            <w:r>
              <w:rPr>
                <w:rFonts w:hint="eastAsia" w:ascii="宋体" w:hAnsi="宋体"/>
                <w:color w:val="000000"/>
                <w:szCs w:val="21"/>
              </w:rPr>
              <w:t>等人组成技术规范的编制小组，其他成员有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张家森、丁春水、洪功飞、金晓宇、钱瑜、张红璠、嵇斌、胡桢、姚淑娟、徐磊、</w:t>
            </w: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陈晨、王振杰、</w:t>
            </w:r>
            <w:r>
              <w:rPr>
                <w:rFonts w:hint="eastAsia" w:ascii="Times New Roman" w:hAnsi="Times New Roman"/>
                <w:sz w:val="18"/>
                <w:szCs w:val="22"/>
              </w:rPr>
              <w:t>李郁</w:t>
            </w:r>
            <w:r>
              <w:rPr>
                <w:rFonts w:hint="eastAsia" w:ascii="Times New Roman" w:hAnsi="Times New Roman"/>
                <w:sz w:val="18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/>
                <w:sz w:val="18"/>
                <w:szCs w:val="22"/>
                <w:lang w:val="en-US" w:eastAsia="zh-CN"/>
              </w:rPr>
              <w:t>李雪松、张士清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。 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③201</w:t>
            </w:r>
            <w:r>
              <w:rPr>
                <w:rFonts w:ascii="宋体" w:hAnsi="宋体"/>
                <w:color w:val="000000"/>
                <w:szCs w:val="21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1月</w:t>
            </w:r>
            <w:r>
              <w:rPr>
                <w:rFonts w:hint="eastAsia"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2020年4</w:t>
            </w:r>
            <w:r>
              <w:rPr>
                <w:rFonts w:hint="eastAsia" w:ascii="宋体" w:hAnsi="宋体"/>
                <w:color w:val="000000"/>
                <w:szCs w:val="21"/>
              </w:rPr>
              <w:t>月，在总结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全省病死畜禽无害化处理生物安全</w:t>
            </w:r>
            <w:r>
              <w:rPr>
                <w:rFonts w:hint="eastAsia" w:ascii="宋体" w:hAnsi="宋体"/>
                <w:color w:val="000000"/>
                <w:szCs w:val="21"/>
              </w:rPr>
              <w:t>工作基础上，结合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全省病死畜禽无害化集中处理厂建设、运行和无害化处理长效机制建设</w:t>
            </w:r>
            <w:r>
              <w:rPr>
                <w:rFonts w:hint="eastAsia" w:ascii="宋体" w:hAnsi="宋体"/>
                <w:color w:val="000000"/>
                <w:szCs w:val="21"/>
              </w:rPr>
              <w:t>等工作实际，以科学、合理、规范、易操作为原则，起草本规范草稿，并在此基础征求相关专家意见和建议，修改后形成本标准初稿。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（2）征求意见情况：20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Cs w:val="21"/>
              </w:rPr>
              <w:t>—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月，由规程起草牵头单位负责通过网站宣传、文稿寄送等方式公开征求意见。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在收到</w:t>
            </w:r>
            <w:r>
              <w:rPr>
                <w:rFonts w:hint="eastAsia" w:ascii="宋体" w:hAnsi="宋体"/>
                <w:color w:val="000000"/>
                <w:szCs w:val="21"/>
              </w:rPr>
              <w:t>来自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安徽农业大学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等单位专家</w:t>
            </w:r>
            <w:r>
              <w:rPr>
                <w:rFonts w:hint="eastAsia" w:ascii="宋体" w:hAnsi="宋体"/>
                <w:color w:val="000000"/>
                <w:szCs w:val="21"/>
              </w:rPr>
              <w:t>提出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的一些</w:t>
            </w:r>
            <w:r>
              <w:rPr>
                <w:rFonts w:hint="eastAsia" w:ascii="宋体" w:hAnsi="宋体"/>
                <w:color w:val="000000"/>
                <w:szCs w:val="21"/>
              </w:rPr>
              <w:t>修改建议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后，对规程进行修改</w:t>
            </w:r>
            <w:r>
              <w:rPr>
                <w:rFonts w:hint="eastAsia" w:ascii="宋体" w:hAnsi="宋体"/>
                <w:color w:val="000000"/>
                <w:szCs w:val="21"/>
              </w:rPr>
              <w:t>完善。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）</w:t>
            </w:r>
            <w:r>
              <w:rPr>
                <w:rFonts w:hint="eastAsia" w:ascii="宋体" w:hAnsi="宋体"/>
                <w:color w:val="000000"/>
                <w:szCs w:val="21"/>
              </w:rPr>
              <w:t>报批情况：编制组将根据意见对标准送审稿作了修改和完善，于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2020</w:t>
            </w:r>
            <w:r>
              <w:rPr>
                <w:rFonts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月形成标准报批稿、编制说明及其它相关文件，并上报至安徽省农业标准化技术委员会、安徽省市场监督管理局。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2、制定标准的必要性和意义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2" w:firstLineChars="20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（1）必要性：</w:t>
            </w:r>
          </w:p>
          <w:p>
            <w:pPr>
              <w:spacing w:line="400" w:lineRule="exact"/>
              <w:ind w:firstLine="420" w:firstLineChars="20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病死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畜禽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无害化处理是指采用高温高压等物理化学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方法集中处理病死及病害动物及相关动物产品，消灭其所携带的病原体，消除危害的过程。生物安全则是采取有效措施来预防和控制病原微生物对畜禽养殖、生态环境和人体健康潜在威胁的过程。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只有严格把无害化生物安全评估清晰，查找生物安全存在的漏洞和隐患，采取有针对性的防控措施，才能彻底消灭病原菌，杜绝病原菌的再次外泄，达到生物安全防护的要求。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本标准的制定对控制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重点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疫情的传播和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保障生物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生产尤为必要。</w:t>
            </w:r>
          </w:p>
          <w:p>
            <w:pPr>
              <w:spacing w:line="400" w:lineRule="exact"/>
              <w:ind w:firstLine="422" w:firstLineChars="200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（2）意义：</w:t>
            </w:r>
          </w:p>
          <w:p>
            <w:pPr>
              <w:spacing w:line="400" w:lineRule="exact"/>
              <w:ind w:firstLine="420" w:firstLineChars="200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本标准的制定，贯彻落实《中华人民共和国动物防疫法》等有关法律法规，按照《国务院办公厅关于建立病死畜禽无害化处理机制的意见》要求，构建科学完备、运转高效的无害化处理机制，完善无害化处理体系，促进病死动物资源化利用，规范病死及病害动物无害化集中处理生物安全风险防范，在科学防控非洲猪瘟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等重大动物疫病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的前提下，严格按照生物安全管理要求，提出建设性的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评估策略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对于生物安全影响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具有重要意义。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3、制定标准的原则和依据，与现行法律法规、标准的关系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本</w:t>
            </w:r>
            <w:r>
              <w:rPr>
                <w:rFonts w:asciiTheme="minorEastAsia" w:hAnsiTheme="minorEastAsia"/>
                <w:szCs w:val="21"/>
              </w:rPr>
              <w:t>标准</w:t>
            </w:r>
            <w:r>
              <w:rPr>
                <w:rFonts w:hint="eastAsia" w:asciiTheme="minorEastAsia" w:hAnsiTheme="minorEastAsia"/>
                <w:szCs w:val="21"/>
              </w:rPr>
              <w:t>本着科学、规范、统一和实用的原则，按照《中华人民共和国标准化法》、《安徽省地方标准管理办法》、《中华人民共和国动物防疫法》等法律法规，</w:t>
            </w:r>
            <w:r>
              <w:rPr>
                <w:rFonts w:hint="eastAsia"/>
                <w:szCs w:val="21"/>
              </w:rPr>
              <w:t>依据</w:t>
            </w:r>
            <w:r>
              <w:rPr>
                <w:rFonts w:hint="eastAsia" w:asciiTheme="minorEastAsia" w:hAnsiTheme="minorEastAsia"/>
                <w:szCs w:val="21"/>
              </w:rPr>
              <w:t>我省非洲猪瘟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等重大动物疫病</w:t>
            </w:r>
            <w:r>
              <w:rPr>
                <w:rFonts w:hint="eastAsia" w:asciiTheme="minorEastAsia" w:hAnsiTheme="minorEastAsia"/>
                <w:szCs w:val="21"/>
              </w:rPr>
              <w:t>防控实践经验，规范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无害化生物安全风险评估的流程、环节和评估方式方法</w:t>
            </w:r>
            <w:r>
              <w:rPr>
                <w:rFonts w:hint="eastAsia" w:asciiTheme="minorEastAsia" w:hAnsiTheme="minorEastAsia"/>
                <w:szCs w:val="21"/>
              </w:rPr>
              <w:t>。本规程</w:t>
            </w:r>
            <w:r>
              <w:rPr>
                <w:rFonts w:asciiTheme="minorEastAsia" w:hAnsiTheme="minorEastAsia"/>
                <w:szCs w:val="21"/>
              </w:rPr>
              <w:t>与现行</w:t>
            </w:r>
            <w:r>
              <w:rPr>
                <w:rFonts w:hint="eastAsia" w:asciiTheme="minorEastAsia" w:hAnsiTheme="minorEastAsia"/>
                <w:szCs w:val="21"/>
              </w:rPr>
              <w:t>法律、</w:t>
            </w:r>
            <w:r>
              <w:rPr>
                <w:rFonts w:asciiTheme="minorEastAsia" w:hAnsiTheme="minorEastAsia"/>
                <w:szCs w:val="21"/>
              </w:rPr>
              <w:t>标准无冲突。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本标准制定的依据：</w:t>
            </w:r>
          </w:p>
          <w:p>
            <w:pPr>
              <w:pStyle w:val="10"/>
              <w:spacing w:line="4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（1）相关的政策法规</w:t>
            </w:r>
          </w:p>
          <w:p>
            <w:pPr>
              <w:pStyle w:val="10"/>
              <w:spacing w:line="400" w:lineRule="exact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《中华人民共和国标准化法》、《安徽省地方标准管理办法》（皖质发</w:t>
            </w:r>
            <w:r>
              <w:rPr>
                <w:rFonts w:hint="eastAsia"/>
                <w:szCs w:val="21"/>
              </w:rPr>
              <w:t>〔</w:t>
            </w:r>
            <w:r>
              <w:rPr>
                <w:rFonts w:hint="eastAsia" w:asciiTheme="minorEastAsia" w:hAnsiTheme="minorEastAsia"/>
                <w:szCs w:val="21"/>
              </w:rPr>
              <w:t>2013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〕</w:t>
            </w:r>
            <w:r>
              <w:rPr>
                <w:rFonts w:hint="eastAsia" w:asciiTheme="minorEastAsia" w:hAnsiTheme="minorEastAsia"/>
                <w:szCs w:val="21"/>
              </w:rPr>
              <w:t>61号）。</w:t>
            </w:r>
          </w:p>
          <w:p>
            <w:pPr>
              <w:pStyle w:val="10"/>
              <w:spacing w:line="400" w:lineRule="exact"/>
              <w:ind w:firstLine="409" w:firstLineChars="19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（2）相关标准</w:t>
            </w:r>
          </w:p>
          <w:p>
            <w:pPr>
              <w:pStyle w:val="10"/>
              <w:spacing w:line="400" w:lineRule="exact"/>
              <w:ind w:firstLine="525" w:firstLineChars="250"/>
              <w:rPr>
                <w:szCs w:val="21"/>
              </w:rPr>
            </w:pPr>
            <w:r>
              <w:rPr>
                <w:rFonts w:hint="eastAsia"/>
                <w:szCs w:val="21"/>
              </w:rPr>
              <w:t>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360" w:lineRule="auto"/>
              <w:ind w:firstLine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4、主要条款的说明，主要技术指标、参数、试验验证的论述（详细说明）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6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13" w:firstLineChars="196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（1）主要条款</w:t>
            </w:r>
          </w:p>
          <w:p>
            <w:pPr>
              <w:spacing w:line="400" w:lineRule="exact"/>
              <w:ind w:firstLine="411" w:firstLineChars="196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 本规程规定了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无害化生物安全风险防控中风险因子、风险权重、风险级别、风险评估模块四部分组成，同时也明确了适用范围、引用规范和标准、术语和定义等内容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  <w:p>
            <w:pPr>
              <w:spacing w:line="400" w:lineRule="exact"/>
              <w:ind w:firstLine="316" w:firstLineChars="1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（2）主要技术指标、参数</w:t>
            </w:r>
          </w:p>
          <w:p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本规程的主要技术指标和参数包括：</w:t>
            </w:r>
          </w:p>
          <w:p>
            <w:pPr>
              <w:spacing w:line="400" w:lineRule="exact"/>
              <w:ind w:firstLine="420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4.1收集、4.2暂存、4.3转运和4.4处理，是当前无害化集中处理模式的必要环节，通过每一个环节的风险因子的查找，明确排查的隐患点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另外，4.5其他生物安全防护要求，则是从人员、环境等软件方面进行风险因子排查；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</w:rPr>
              <w:t>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风险因子的权重，是根据风险因子对无害化处理生物安全影响程度，经过科学分析，设定限制性关键因子、特别关键因子、关键性因子和一般性因子等四个方面。其中5.2风险因子4.3.1和4.4.1关于病死畜禽运输车辆和无害化处理厂资质设定为限制性关键因子，主要是出于病死动物运输过程不能造成病原微生物外泄，无害化处理厂务必取得资质方可运行投产。</w:t>
            </w:r>
          </w:p>
          <w:p>
            <w:pPr>
              <w:spacing w:line="400" w:lineRule="exact"/>
              <w:ind w:firstLine="42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本规范共设置风险因子26项，其中关键因子以上因子有12项；</w:t>
            </w:r>
          </w:p>
          <w:p>
            <w:pPr>
              <w:spacing w:line="400" w:lineRule="exact"/>
              <w:ind w:firstLine="42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③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建立风险评估模块，明确高风险、中风险和低风险判定条件，细化量化风险因子、判定标准和判定结果，通过建立模型、数据分析和综合研判，指导开展病死畜禽无害化处理生物安全风险评估工作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spacing w:line="400" w:lineRule="exact"/>
              <w:ind w:firstLine="42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（3）试验验证的论述</w:t>
            </w:r>
          </w:p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规范</w:t>
            </w:r>
            <w:r>
              <w:rPr>
                <w:rFonts w:hint="eastAsia" w:ascii="宋体" w:hAnsi="宋体"/>
                <w:color w:val="000000"/>
                <w:szCs w:val="21"/>
              </w:rPr>
              <w:t>的制定单位2</w:t>
            </w:r>
            <w:r>
              <w:rPr>
                <w:rFonts w:ascii="宋体" w:hAnsi="宋体"/>
                <w:color w:val="000000"/>
                <w:szCs w:val="21"/>
              </w:rPr>
              <w:t>01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szCs w:val="21"/>
              </w:rPr>
              <w:t>年以来，按本规程相关技术要求在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阜阳市太和县、颍东区等地开展先行先试工作风险评估</w:t>
            </w:r>
            <w:r>
              <w:rPr>
                <w:rFonts w:hint="eastAsia" w:ascii="宋体" w:hAnsi="宋体"/>
                <w:color w:val="000000"/>
                <w:szCs w:val="21"/>
              </w:rPr>
              <w:t>等工作，取得了较为丰富的经验和成果，使得本规程技术内容的规范性、科学性和成熟度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color w:val="000000"/>
                <w:szCs w:val="21"/>
              </w:rPr>
              <w:t>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0" w:name="_Toc464905809"/>
            <w:bookmarkStart w:id="1" w:name="_Toc464905613"/>
            <w:bookmarkStart w:id="2" w:name="_Toc464905557"/>
            <w:bookmarkStart w:id="3" w:name="_Toc465074266"/>
            <w:bookmarkStart w:id="4" w:name="_Toc464902852"/>
            <w:r>
              <w:rPr>
                <w:rFonts w:hint="eastAsia"/>
                <w:b/>
                <w:szCs w:val="21"/>
              </w:rPr>
              <w:t>5、标准中如果涉及专利，应有明确的知识产权说明</w:t>
            </w:r>
            <w:bookmarkEnd w:id="0"/>
            <w:bookmarkEnd w:id="1"/>
            <w:bookmarkEnd w:id="2"/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left="42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本标准不涉及任何专利。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5" w:name="_Toc464905614"/>
            <w:bookmarkStart w:id="6" w:name="_Toc464902853"/>
            <w:bookmarkStart w:id="7" w:name="_Toc465074267"/>
            <w:bookmarkStart w:id="8" w:name="_Toc464905558"/>
            <w:bookmarkStart w:id="9" w:name="_Toc464905810"/>
            <w:r>
              <w:rPr>
                <w:rFonts w:hint="eastAsia"/>
                <w:b/>
                <w:szCs w:val="21"/>
              </w:rPr>
              <w:t>6、采用国际标准或国外先进标准的，说明采标程度，以及国内外同类标准水平的对比情况</w:t>
            </w:r>
            <w:bookmarkEnd w:id="5"/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未采用国际标准或国外先进标准；目前，国内外尚无同类标准。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10" w:name="_Toc464905559"/>
            <w:bookmarkStart w:id="11" w:name="_Toc464905811"/>
            <w:bookmarkStart w:id="12" w:name="_Toc464905615"/>
            <w:bookmarkStart w:id="13" w:name="_Toc465074268"/>
            <w:bookmarkStart w:id="14" w:name="_Toc464902854"/>
            <w:r>
              <w:rPr>
                <w:rFonts w:hint="eastAsia"/>
                <w:b/>
                <w:szCs w:val="21"/>
              </w:rPr>
              <w:t>7、重大分歧意见的处理经过和依据</w:t>
            </w:r>
            <w:bookmarkEnd w:id="10"/>
            <w:bookmarkEnd w:id="11"/>
            <w:bookmarkEnd w:id="12"/>
            <w:bookmarkEnd w:id="13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/>
              <w:rPr>
                <w:rFonts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标准在编制过程中没有重大意见分歧。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15" w:name="_Toc464905812"/>
            <w:bookmarkStart w:id="16" w:name="_Toc465074269"/>
            <w:bookmarkStart w:id="17" w:name="_Toc464902855"/>
            <w:bookmarkStart w:id="18" w:name="_Toc464905560"/>
            <w:bookmarkStart w:id="19" w:name="_Toc464905616"/>
            <w:r>
              <w:rPr>
                <w:rFonts w:hint="eastAsia"/>
                <w:b/>
                <w:szCs w:val="21"/>
              </w:rPr>
              <w:t>8、贯彻标准的要求和措施建议（包括组织措施、技术措施、过渡办法、实施日期等）</w:t>
            </w:r>
            <w:bookmarkEnd w:id="15"/>
            <w:bookmarkEnd w:id="16"/>
            <w:bookmarkEnd w:id="17"/>
            <w:bookmarkEnd w:id="18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本标准作为推荐性地方标准，应自本标准发布之日起在省内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无害化处理企业</w:t>
            </w:r>
            <w:r>
              <w:rPr>
                <w:rFonts w:hint="eastAsia" w:ascii="宋体" w:hAnsi="宋体"/>
                <w:color w:val="000000"/>
                <w:szCs w:val="21"/>
              </w:rPr>
              <w:t>和相关技术推广单位全面推荐施行。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20" w:name="_Toc464905561"/>
            <w:bookmarkStart w:id="21" w:name="_Toc464902856"/>
            <w:bookmarkStart w:id="22" w:name="_Toc464905813"/>
            <w:bookmarkStart w:id="23" w:name="_Toc464905617"/>
            <w:bookmarkStart w:id="24" w:name="_Toc465074270"/>
            <w:r>
              <w:rPr>
                <w:rFonts w:hint="eastAsia"/>
                <w:b/>
                <w:szCs w:val="21"/>
              </w:rPr>
              <w:t>9、废止现行相关标准的建议</w:t>
            </w:r>
            <w:bookmarkEnd w:id="20"/>
            <w:bookmarkEnd w:id="21"/>
            <w:bookmarkEnd w:id="22"/>
            <w:bookmarkEnd w:id="23"/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left="42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400" w:lineRule="exact"/>
              <w:ind w:firstLine="0"/>
              <w:rPr>
                <w:b/>
              </w:rPr>
            </w:pPr>
            <w:bookmarkStart w:id="25" w:name="_Toc464905562"/>
            <w:bookmarkStart w:id="26" w:name="_Toc464905814"/>
            <w:bookmarkStart w:id="27" w:name="_Toc465074271"/>
            <w:bookmarkStart w:id="28" w:name="_Toc464905618"/>
            <w:bookmarkStart w:id="29" w:name="_Toc464902857"/>
            <w:r>
              <w:rPr>
                <w:rFonts w:hint="eastAsia"/>
                <w:b/>
                <w:szCs w:val="21"/>
              </w:rPr>
              <w:t>10、其它应予说明的事项</w:t>
            </w:r>
            <w:bookmarkEnd w:id="25"/>
            <w:bookmarkEnd w:id="26"/>
            <w:bookmarkEnd w:id="27"/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9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600" w:hanging="18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无</w:t>
            </w:r>
          </w:p>
        </w:tc>
      </w:tr>
    </w:tbl>
    <w:p>
      <w:pPr>
        <w:widowControl/>
        <w:spacing w:line="400" w:lineRule="exact"/>
        <w:jc w:val="left"/>
      </w:pPr>
      <w:r>
        <w:rPr>
          <w:rFonts w:ascii="仿宋_GB2312" w:eastAsia="仿宋_GB2312"/>
          <w:b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/>
          <w:color w:val="000000"/>
          <w:kern w:val="0"/>
          <w:szCs w:val="21"/>
        </w:rPr>
        <w:t>：没有的请填写 “无”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安徽省地方标准征求意见汇总表</w:t>
      </w:r>
    </w:p>
    <w:p>
      <w:pPr>
        <w:spacing w:line="360" w:lineRule="auto"/>
        <w:jc w:val="left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归口单位：（盖章）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60"/>
        <w:gridCol w:w="1560"/>
        <w:gridCol w:w="3261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序 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提 出 单 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-108" w:right="-79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标准条款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意  见  内  容</w:t>
            </w: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处 理 意 见 及 理 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color w:val="000000"/>
                <w:szCs w:val="21"/>
              </w:rPr>
            </w:pPr>
          </w:p>
        </w:tc>
      </w:tr>
    </w:tbl>
    <w:p>
      <w:pPr>
        <w:pStyle w:val="10"/>
        <w:tabs>
          <w:tab w:val="center" w:pos="4201"/>
          <w:tab w:val="right" w:leader="dot" w:pos="9298"/>
        </w:tabs>
        <w:rPr>
          <w:rFonts w:hint="eastAsia"/>
        </w:rPr>
      </w:pPr>
    </w:p>
    <w:p>
      <w:pPr>
        <w:pStyle w:val="10"/>
        <w:tabs>
          <w:tab w:val="center" w:pos="4201"/>
          <w:tab w:val="right" w:leader="dot" w:pos="9298"/>
        </w:tabs>
      </w:pPr>
    </w:p>
    <w:p>
      <w:pPr>
        <w:pStyle w:val="21"/>
        <w:rPr>
          <w:rFonts w:hint="eastAsia"/>
        </w:rPr>
      </w:pPr>
    </w:p>
    <w:p>
      <w:pPr>
        <w:pStyle w:val="22"/>
        <w:rPr>
          <w:rFonts w:hint="eastAsia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审查专家承诺书</w:t>
      </w: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本人作为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审查专家</w:t>
      </w:r>
      <w:r>
        <w:rPr>
          <w:rFonts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承诺全程认真参与《                   》地方标准审查，</w:t>
      </w:r>
      <w:r>
        <w:rPr>
          <w:rFonts w:ascii="仿宋_GB2312" w:hAnsi="宋体" w:eastAsia="仿宋_GB2312" w:cs="宋体"/>
          <w:kern w:val="0"/>
          <w:sz w:val="32"/>
          <w:szCs w:val="32"/>
        </w:rPr>
        <w:t>严格履行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审查</w:t>
      </w:r>
      <w:r>
        <w:rPr>
          <w:rFonts w:ascii="仿宋_GB2312" w:hAnsi="宋体" w:eastAsia="仿宋_GB2312" w:cs="宋体"/>
          <w:kern w:val="0"/>
          <w:sz w:val="32"/>
          <w:szCs w:val="32"/>
        </w:rPr>
        <w:t>专家职责，本着公正、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客观</w:t>
      </w:r>
      <w:r>
        <w:rPr>
          <w:rFonts w:ascii="仿宋_GB2312" w:hAnsi="宋体" w:eastAsia="仿宋_GB2312" w:cs="宋体"/>
          <w:kern w:val="0"/>
          <w:sz w:val="32"/>
          <w:szCs w:val="32"/>
        </w:rPr>
        <w:t>的原则，在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地方</w:t>
      </w:r>
      <w:r>
        <w:rPr>
          <w:rFonts w:ascii="仿宋_GB2312" w:hAnsi="宋体" w:eastAsia="仿宋_GB2312" w:cs="宋体"/>
          <w:kern w:val="0"/>
          <w:sz w:val="32"/>
          <w:szCs w:val="32"/>
        </w:rPr>
        <w:t>标准审查过程中不受任何干扰，独立提出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审查</w:t>
      </w:r>
      <w:r>
        <w:rPr>
          <w:rFonts w:ascii="仿宋_GB2312" w:hAnsi="宋体" w:eastAsia="仿宋_GB2312" w:cs="宋体"/>
          <w:kern w:val="0"/>
          <w:sz w:val="32"/>
          <w:szCs w:val="32"/>
        </w:rPr>
        <w:t>意见，与本标准无利益关系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并对自己的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审查</w:t>
      </w:r>
      <w:r>
        <w:rPr>
          <w:rFonts w:ascii="仿宋_GB2312" w:hAnsi="宋体" w:eastAsia="仿宋_GB2312" w:cs="宋体"/>
          <w:kern w:val="0"/>
          <w:sz w:val="32"/>
          <w:szCs w:val="32"/>
        </w:rPr>
        <w:t>意见和表决结果承担责任。</w:t>
      </w:r>
    </w:p>
    <w:p>
      <w:pPr>
        <w:spacing w:line="360" w:lineRule="auto"/>
        <w:ind w:right="640"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承诺人：（可多人）</w:t>
      </w:r>
    </w:p>
    <w:p>
      <w:pPr>
        <w:spacing w:line="360" w:lineRule="auto"/>
        <w:ind w:right="640"/>
        <w:jc w:val="righ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仿宋_GB2312" w:hAnsi="宋体" w:eastAsia="仿宋_GB2312"/>
          <w:b/>
          <w:color w:val="000000"/>
          <w:sz w:val="32"/>
          <w:szCs w:val="32"/>
        </w:rPr>
      </w:pPr>
    </w:p>
    <w:p>
      <w:pPr>
        <w:spacing w:line="360" w:lineRule="auto"/>
        <w:ind w:right="1280" w:firstLine="5455" w:firstLineChars="1698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年   月   日</w:t>
      </w: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pStyle w:val="10"/>
        <w:tabs>
          <w:tab w:val="center" w:pos="4201"/>
          <w:tab w:val="right" w:leader="dot" w:pos="9298"/>
        </w:tabs>
        <w:rPr>
          <w:rFonts w:hint="eastAsia"/>
        </w:rPr>
      </w:pPr>
    </w:p>
    <w:p>
      <w:pPr>
        <w:pStyle w:val="21"/>
      </w:pPr>
    </w:p>
    <w:p>
      <w:pPr>
        <w:pStyle w:val="22"/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安徽省地方标准审查会议纪要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6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Verdana" w:eastAsia="仿宋_GB2312"/>
                <w:color w:val="000000"/>
                <w:szCs w:val="21"/>
              </w:rPr>
            </w:pPr>
            <w:r>
              <w:rPr>
                <w:rFonts w:hint="eastAsia" w:ascii="仿宋_GB2312" w:hAnsi="Verdana" w:eastAsia="仿宋_GB2312"/>
                <w:color w:val="000000"/>
                <w:szCs w:val="21"/>
              </w:rPr>
              <w:t>标准名称</w:t>
            </w:r>
          </w:p>
        </w:tc>
        <w:tc>
          <w:tcPr>
            <w:tcW w:w="6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Verdana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Verdana" w:eastAsia="仿宋_GB2312"/>
                <w:color w:val="000000"/>
                <w:szCs w:val="21"/>
              </w:rPr>
            </w:pPr>
            <w:r>
              <w:rPr>
                <w:rFonts w:hint="eastAsia" w:ascii="仿宋_GB2312" w:hAnsi="Verdana" w:eastAsia="仿宋_GB2312"/>
                <w:color w:val="000000"/>
                <w:szCs w:val="21"/>
              </w:rPr>
              <w:t>会议纪要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7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420" w:firstLine="630" w:firstLineChars="300"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日，XXX（归口单位）在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组织召开了《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》地方标准审查会，来自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×××、×××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等单位的专家组成审查专家组（名单附后），经过讨论推选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×××为专家组长。专家委员会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认真听取了编制单位的汇报，审阅了相关材料，经质询和讨论，提出以下修改意见：（明确关于</w:t>
            </w:r>
            <w:r>
              <w:rPr>
                <w:rFonts w:hint="eastAsia" w:ascii="仿宋_GB2312" w:hAnsi="Verdana" w:eastAsia="仿宋_GB2312"/>
                <w:color w:val="000000"/>
                <w:szCs w:val="21"/>
              </w:rPr>
              <w:t>技术指标、参数、公式、性能要求、试验方法、检验规则、标准宣贯、实施、过渡措施及监督等方面的意见和建议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）</w:t>
            </w:r>
          </w:p>
          <w:p>
            <w:pPr>
              <w:spacing w:before="156" w:after="156" w:line="360" w:lineRule="auto"/>
              <w:ind w:left="420"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…</w:t>
            </w:r>
          </w:p>
          <w:p>
            <w:pPr>
              <w:spacing w:before="156" w:after="156" w:line="360" w:lineRule="auto"/>
              <w:ind w:left="420"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…</w:t>
            </w:r>
          </w:p>
          <w:p>
            <w:pPr>
              <w:spacing w:before="156" w:after="156" w:line="360" w:lineRule="auto"/>
              <w:ind w:left="420"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…</w:t>
            </w:r>
          </w:p>
          <w:p>
            <w:pPr>
              <w:spacing w:before="156" w:after="156" w:line="360" w:lineRule="auto"/>
              <w:ind w:left="420" w:firstLine="420" w:firstLineChars="20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…</w:t>
            </w:r>
          </w:p>
          <w:p>
            <w:pPr>
              <w:spacing w:before="156" w:after="156" w:line="360" w:lineRule="auto"/>
              <w:ind w:left="420" w:firstLine="420" w:firstLineChars="2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9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rPr>
                <w:rFonts w:ascii="仿宋_GB2312" w:hAnsi="华文中宋" w:eastAsia="仿宋_GB2312"/>
                <w:color w:val="000000"/>
                <w:szCs w:val="21"/>
              </w:rPr>
            </w:pPr>
            <w:r>
              <w:rPr>
                <w:rFonts w:hint="eastAsia" w:ascii="仿宋_GB2312" w:hAnsi="华文中宋" w:eastAsia="仿宋_GB2312"/>
                <w:color w:val="000000"/>
                <w:szCs w:val="21"/>
              </w:rPr>
              <w:t>审查结论：</w:t>
            </w:r>
          </w:p>
          <w:p>
            <w:pPr>
              <w:pStyle w:val="10"/>
              <w:tabs>
                <w:tab w:val="center" w:pos="4201"/>
                <w:tab w:val="right" w:leader="dot" w:pos="9298"/>
              </w:tabs>
              <w:spacing w:line="360" w:lineRule="auto"/>
              <w:ind w:left="42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1、标准技术内容  符合/不符合  国家有关法律法规和标准要求；</w:t>
            </w:r>
          </w:p>
          <w:p>
            <w:pPr>
              <w:pStyle w:val="10"/>
              <w:tabs>
                <w:tab w:val="center" w:pos="4201"/>
                <w:tab w:val="right" w:leader="dot" w:pos="9298"/>
              </w:tabs>
              <w:spacing w:line="360" w:lineRule="auto"/>
              <w:ind w:left="42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2、标准  具有/不具有  科学性、适用性和可操作性。</w:t>
            </w:r>
          </w:p>
          <w:p>
            <w:pPr>
              <w:spacing w:line="360" w:lineRule="auto"/>
              <w:ind w:left="420" w:firstLine="420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审查专家组  同意/不同意  《XXXXXXX》通过审查。</w:t>
            </w:r>
          </w:p>
          <w:p>
            <w:pPr>
              <w:widowControl/>
              <w:spacing w:line="360" w:lineRule="auto"/>
              <w:ind w:right="1470"/>
              <w:jc w:val="righ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专家组长：      </w:t>
            </w:r>
          </w:p>
          <w:p>
            <w:pPr>
              <w:widowControl/>
              <w:spacing w:line="360" w:lineRule="auto"/>
              <w:ind w:right="945"/>
              <w:jc w:val="right"/>
              <w:rPr>
                <w:rFonts w:ascii="仿宋_GB2312" w:hAnsi="Verdana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年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月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××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日</w:t>
            </w:r>
          </w:p>
        </w:tc>
      </w:tr>
    </w:tbl>
    <w:p>
      <w:pPr>
        <w:pStyle w:val="21"/>
      </w:pPr>
    </w:p>
    <w:p>
      <w:pPr>
        <w:pStyle w:val="22"/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安徽省地方标准审查专家签字表决表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724"/>
        <w:gridCol w:w="668"/>
        <w:gridCol w:w="168"/>
        <w:gridCol w:w="946"/>
        <w:gridCol w:w="632"/>
        <w:gridCol w:w="318"/>
        <w:gridCol w:w="479"/>
        <w:gridCol w:w="477"/>
        <w:gridCol w:w="181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  <w:szCs w:val="24"/>
              </w:rPr>
              <w:t>标准</w:t>
            </w:r>
          </w:p>
          <w:p>
            <w:pPr>
              <w:pStyle w:val="10"/>
              <w:tabs>
                <w:tab w:val="center" w:pos="4201"/>
                <w:tab w:val="right" w:leader="dot" w:pos="9298"/>
              </w:tabs>
              <w:spacing w:line="360" w:lineRule="auto"/>
              <w:ind w:firstLine="0" w:firstLineChars="0"/>
              <w:jc w:val="center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833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tabs>
                <w:tab w:val="center" w:pos="4201"/>
                <w:tab w:val="right" w:leader="dot" w:pos="9298"/>
              </w:tabs>
              <w:spacing w:line="360" w:lineRule="auto"/>
              <w:ind w:left="420" w:firstLine="0" w:firstLineChars="0"/>
              <w:jc w:val="center"/>
              <w:rPr>
                <w:rFonts w:ascii="仿宋_GB2312" w:hAnsi="华文中宋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专家</w:t>
            </w:r>
          </w:p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组长</w:t>
            </w:r>
          </w:p>
        </w:tc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审查</w:t>
            </w:r>
          </w:p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组织单位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姓名</w:t>
            </w:r>
          </w:p>
        </w:tc>
        <w:tc>
          <w:tcPr>
            <w:tcW w:w="2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firstLine="240" w:firstLineChars="100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单位</w:t>
            </w:r>
          </w:p>
        </w:tc>
        <w:tc>
          <w:tcPr>
            <w:tcW w:w="11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职务/</w:t>
            </w:r>
          </w:p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职称</w:t>
            </w:r>
          </w:p>
        </w:tc>
        <w:tc>
          <w:tcPr>
            <w:tcW w:w="19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20" w:firstLineChars="5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表决意见</w:t>
            </w:r>
          </w:p>
        </w:tc>
        <w:tc>
          <w:tcPr>
            <w:tcW w:w="18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电话</w:t>
            </w:r>
          </w:p>
        </w:tc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通  过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  <w:r>
              <w:rPr>
                <w:rFonts w:hint="eastAsia" w:ascii="仿宋_GB2312" w:hAnsi="华文中宋" w:eastAsia="仿宋_GB2312"/>
                <w:color w:val="000000"/>
                <w:sz w:val="24"/>
              </w:rPr>
              <w:t>不通过</w:t>
            </w:r>
          </w:p>
        </w:tc>
        <w:tc>
          <w:tcPr>
            <w:tcW w:w="18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left="600" w:hanging="180"/>
              <w:jc w:val="center"/>
              <w:rPr>
                <w:rFonts w:ascii="仿宋_GB2312" w:hAnsi="华文中宋" w:eastAsia="仿宋_GB2312"/>
                <w:color w:val="000000"/>
                <w:sz w:val="24"/>
              </w:rPr>
            </w:pPr>
          </w:p>
        </w:tc>
      </w:tr>
    </w:tbl>
    <w:p>
      <w:pPr>
        <w:pStyle w:val="21"/>
      </w:pPr>
    </w:p>
    <w:p>
      <w:pPr>
        <w:pStyle w:val="22"/>
      </w:pPr>
    </w:p>
    <w:p>
      <w:pPr>
        <w:pStyle w:val="22"/>
        <w:numPr>
          <w:ilvl w:val="0"/>
          <w:numId w:val="0"/>
        </w:numPr>
        <w:jc w:val="both"/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hint="eastAsia" w:ascii="华文中宋" w:hAnsi="华文中宋" w:eastAsia="华文中宋"/>
          <w:color w:val="000000"/>
          <w:sz w:val="36"/>
          <w:szCs w:val="36"/>
        </w:rPr>
      </w:pPr>
    </w:p>
    <w:p>
      <w:pPr>
        <w:spacing w:line="360" w:lineRule="auto"/>
        <w:jc w:val="center"/>
        <w:rPr>
          <w:rFonts w:ascii="华文中宋" w:hAnsi="华文中宋" w:eastAsia="华文中宋"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color w:val="000000"/>
          <w:sz w:val="36"/>
          <w:szCs w:val="36"/>
        </w:rPr>
        <w:t>安徽省地方标准报批稿复核意见</w:t>
      </w:r>
    </w:p>
    <w:p>
      <w:pPr>
        <w:spacing w:line="360" w:lineRule="auto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《                          》地方标准已于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日通过了专家审查。经过复核，认为起草单位已经全面采纳审查意见并进行了认真修改，现已符合安徽省地方标准编制要求，建议将标准报批稿报安徽省市场监督管理局审批、发布。</w:t>
      </w:r>
    </w:p>
    <w:p>
      <w:pPr>
        <w:spacing w:line="360" w:lineRule="auto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   专家组长：</w:t>
      </w:r>
    </w:p>
    <w:p>
      <w:pPr>
        <w:spacing w:line="360" w:lineRule="auto"/>
        <w:ind w:right="640"/>
        <w:jc w:val="center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360" w:lineRule="auto"/>
        <w:ind w:right="1280"/>
        <w:jc w:val="righ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年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>
        <w:pStyle w:val="10"/>
        <w:tabs>
          <w:tab w:val="center" w:pos="4201"/>
          <w:tab w:val="right" w:leader="dot" w:pos="9298"/>
        </w:tabs>
        <w:rPr>
          <w:rFonts w:hint="eastAsia"/>
        </w:rPr>
      </w:pPr>
    </w:p>
    <w:p>
      <w:pPr>
        <w:pStyle w:val="10"/>
        <w:tabs>
          <w:tab w:val="center" w:pos="4201"/>
          <w:tab w:val="right" w:leader="dot" w:pos="9298"/>
        </w:tabs>
      </w:pPr>
    </w:p>
    <w:p>
      <w:pPr>
        <w:pStyle w:val="10"/>
        <w:tabs>
          <w:tab w:val="center" w:pos="4201"/>
          <w:tab w:val="right" w:leader="dot" w:pos="9298"/>
        </w:tabs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641" w:y="-388"/>
      <w:ind w:left="378" w:leftChars="180" w:right="378" w:rightChars="18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12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3" w:y="-366"/>
      <w:ind w:left="378" w:leftChars="180" w:right="378" w:rightChars="180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>—</w:t>
    </w:r>
    <w:r>
      <w:rPr>
        <w:rStyle w:val="7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1">
    <w:nsid w:val="2A8F7113"/>
    <w:multiLevelType w:val="multilevel"/>
    <w:tmpl w:val="2A8F7113"/>
    <w:lvl w:ilvl="0" w:tentative="0">
      <w:start w:val="1"/>
      <w:numFmt w:val="upperLetter"/>
      <w:pStyle w:val="21"/>
      <w:suff w:val="space"/>
      <w:lvlText w:val="%1"/>
      <w:lvlJc w:val="left"/>
      <w:pPr>
        <w:ind w:left="623" w:hanging="425"/>
      </w:pPr>
      <w:rPr>
        <w:rFonts w:hint="eastAsia"/>
      </w:rPr>
    </w:lvl>
    <w:lvl w:ilvl="1" w:tentative="0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2">
    <w:nsid w:val="60B55DC2"/>
    <w:multiLevelType w:val="multilevel"/>
    <w:tmpl w:val="60B55DC2"/>
    <w:lvl w:ilvl="0" w:tentative="0">
      <w:start w:val="1"/>
      <w:numFmt w:val="upperLetter"/>
      <w:pStyle w:val="22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A13"/>
    <w:rsid w:val="00033A8B"/>
    <w:rsid w:val="000C6940"/>
    <w:rsid w:val="000E7DD7"/>
    <w:rsid w:val="00133A13"/>
    <w:rsid w:val="001A2001"/>
    <w:rsid w:val="001C74CA"/>
    <w:rsid w:val="0023336D"/>
    <w:rsid w:val="00247CD3"/>
    <w:rsid w:val="00283C0F"/>
    <w:rsid w:val="00293899"/>
    <w:rsid w:val="002B4410"/>
    <w:rsid w:val="002E3A93"/>
    <w:rsid w:val="00315D0A"/>
    <w:rsid w:val="003A6F6E"/>
    <w:rsid w:val="003B11DB"/>
    <w:rsid w:val="003C0743"/>
    <w:rsid w:val="003C3519"/>
    <w:rsid w:val="003D0872"/>
    <w:rsid w:val="003E16F7"/>
    <w:rsid w:val="003F71B3"/>
    <w:rsid w:val="00413146"/>
    <w:rsid w:val="004329DC"/>
    <w:rsid w:val="00454D7F"/>
    <w:rsid w:val="00534E80"/>
    <w:rsid w:val="005720F9"/>
    <w:rsid w:val="005741BC"/>
    <w:rsid w:val="005A4EB9"/>
    <w:rsid w:val="005B184B"/>
    <w:rsid w:val="00624574"/>
    <w:rsid w:val="0062651C"/>
    <w:rsid w:val="00640081"/>
    <w:rsid w:val="00673F83"/>
    <w:rsid w:val="00711999"/>
    <w:rsid w:val="007C1A52"/>
    <w:rsid w:val="007F22AF"/>
    <w:rsid w:val="00807DE1"/>
    <w:rsid w:val="008A3892"/>
    <w:rsid w:val="009073FC"/>
    <w:rsid w:val="00911538"/>
    <w:rsid w:val="0094519C"/>
    <w:rsid w:val="00950796"/>
    <w:rsid w:val="00960B9E"/>
    <w:rsid w:val="00982D19"/>
    <w:rsid w:val="009C661C"/>
    <w:rsid w:val="009E29B6"/>
    <w:rsid w:val="009F0F49"/>
    <w:rsid w:val="00A13F96"/>
    <w:rsid w:val="00A756C5"/>
    <w:rsid w:val="00B14D9A"/>
    <w:rsid w:val="00B2556A"/>
    <w:rsid w:val="00B332A8"/>
    <w:rsid w:val="00B716A3"/>
    <w:rsid w:val="00B96CD3"/>
    <w:rsid w:val="00BA753E"/>
    <w:rsid w:val="00BB7A15"/>
    <w:rsid w:val="00BD24D3"/>
    <w:rsid w:val="00BE47DE"/>
    <w:rsid w:val="00BE6779"/>
    <w:rsid w:val="00C50164"/>
    <w:rsid w:val="00CA17BB"/>
    <w:rsid w:val="00CA4E89"/>
    <w:rsid w:val="00D07112"/>
    <w:rsid w:val="00D91443"/>
    <w:rsid w:val="00DB5889"/>
    <w:rsid w:val="00E10E9A"/>
    <w:rsid w:val="00E354D8"/>
    <w:rsid w:val="00E42A5B"/>
    <w:rsid w:val="00E52A49"/>
    <w:rsid w:val="00E65EF1"/>
    <w:rsid w:val="00EA3433"/>
    <w:rsid w:val="00EB08DF"/>
    <w:rsid w:val="00EE0ECB"/>
    <w:rsid w:val="00EE1E49"/>
    <w:rsid w:val="00F1079F"/>
    <w:rsid w:val="00F8351F"/>
    <w:rsid w:val="00FF473E"/>
    <w:rsid w:val="045115FF"/>
    <w:rsid w:val="04D07EC2"/>
    <w:rsid w:val="06DD50DF"/>
    <w:rsid w:val="0D92726F"/>
    <w:rsid w:val="0FF3546F"/>
    <w:rsid w:val="13286E13"/>
    <w:rsid w:val="154B0104"/>
    <w:rsid w:val="16260548"/>
    <w:rsid w:val="1ADE0ACC"/>
    <w:rsid w:val="1E0D5EA5"/>
    <w:rsid w:val="21A338BD"/>
    <w:rsid w:val="221A6A8B"/>
    <w:rsid w:val="27D03C5A"/>
    <w:rsid w:val="291E5BF7"/>
    <w:rsid w:val="2B2964FF"/>
    <w:rsid w:val="2BBC523C"/>
    <w:rsid w:val="35D54645"/>
    <w:rsid w:val="3A5C0B1F"/>
    <w:rsid w:val="40BE73EE"/>
    <w:rsid w:val="43022F44"/>
    <w:rsid w:val="442F6D78"/>
    <w:rsid w:val="462763E3"/>
    <w:rsid w:val="4885500C"/>
    <w:rsid w:val="54A167A2"/>
    <w:rsid w:val="577A7E39"/>
    <w:rsid w:val="5A38671A"/>
    <w:rsid w:val="5CA1732E"/>
    <w:rsid w:val="5D1B628A"/>
    <w:rsid w:val="5F380D8C"/>
    <w:rsid w:val="6544549C"/>
    <w:rsid w:val="6C5B2EAB"/>
    <w:rsid w:val="6EBF4254"/>
    <w:rsid w:val="79CC3CD9"/>
    <w:rsid w:val="7FB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qFormat/>
    <w:uiPriority w:val="99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0">
    <w:name w:val="段"/>
    <w:link w:val="11"/>
    <w:qFormat/>
    <w:uiPriority w:val="0"/>
    <w:pPr>
      <w:ind w:firstLine="200"/>
      <w:jc w:val="both"/>
    </w:pPr>
    <w:rPr>
      <w:rFonts w:ascii="宋体" w:hAnsi="宋体" w:eastAsia="宋体" w:cs="Times New Roman"/>
      <w:color w:val="000000"/>
      <w:kern w:val="0"/>
      <w:sz w:val="21"/>
      <w:szCs w:val="20"/>
      <w:lang w:val="en-US" w:eastAsia="zh-CN" w:bidi="ar-SA"/>
    </w:rPr>
  </w:style>
  <w:style w:type="character" w:customStyle="1" w:styleId="11">
    <w:name w:val="段 Char"/>
    <w:basedOn w:val="6"/>
    <w:link w:val="10"/>
    <w:qFormat/>
    <w:uiPriority w:val="0"/>
    <w:rPr>
      <w:rFonts w:ascii="宋体" w:hAnsi="宋体" w:eastAsia="宋体" w:cs="Times New Roman"/>
      <w:color w:val="000000"/>
      <w:kern w:val="0"/>
      <w:szCs w:val="20"/>
    </w:rPr>
  </w:style>
  <w:style w:type="paragraph" w:customStyle="1" w:styleId="12">
    <w:name w:val="正文表标题"/>
    <w:next w:val="10"/>
    <w:qFormat/>
    <w:uiPriority w:val="0"/>
    <w:pPr>
      <w:tabs>
        <w:tab w:val="left" w:pos="0"/>
        <w:tab w:val="left" w:pos="360"/>
      </w:tabs>
      <w:spacing w:beforeLines="50" w:afterLines="50"/>
      <w:ind w:hanging="425"/>
      <w:jc w:val="center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character" w:styleId="13">
    <w:name w:val="Placeholder Text"/>
    <w:basedOn w:val="6"/>
    <w:semiHidden/>
    <w:qFormat/>
    <w:uiPriority w:val="99"/>
    <w:rPr>
      <w:color w:val="808080"/>
    </w:rPr>
  </w:style>
  <w:style w:type="paragraph" w:customStyle="1" w:styleId="14">
    <w:name w:val="一级条标题"/>
    <w:next w:val="10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5">
    <w:name w:val="章标题"/>
    <w:next w:val="10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6">
    <w:name w:val="二级条标题"/>
    <w:basedOn w:val="14"/>
    <w:next w:val="10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7">
    <w:name w:val="三级条标题"/>
    <w:basedOn w:val="16"/>
    <w:next w:val="10"/>
    <w:qFormat/>
    <w:uiPriority w:val="0"/>
    <w:pPr>
      <w:numPr>
        <w:ilvl w:val="3"/>
      </w:numPr>
      <w:outlineLvl w:val="4"/>
    </w:pPr>
  </w:style>
  <w:style w:type="paragraph" w:customStyle="1" w:styleId="18">
    <w:name w:val="四级条标题"/>
    <w:basedOn w:val="17"/>
    <w:next w:val="10"/>
    <w:qFormat/>
    <w:uiPriority w:val="0"/>
    <w:pPr>
      <w:numPr>
        <w:ilvl w:val="4"/>
      </w:numPr>
      <w:outlineLvl w:val="5"/>
    </w:pPr>
  </w:style>
  <w:style w:type="paragraph" w:customStyle="1" w:styleId="19">
    <w:name w:val="五级条标题"/>
    <w:basedOn w:val="18"/>
    <w:next w:val="10"/>
    <w:qFormat/>
    <w:uiPriority w:val="0"/>
    <w:pPr>
      <w:numPr>
        <w:ilvl w:val="5"/>
      </w:numPr>
      <w:outlineLvl w:val="6"/>
    </w:p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附录图标号"/>
    <w:basedOn w:val="1"/>
    <w:qFormat/>
    <w:uiPriority w:val="0"/>
    <w:pPr>
      <w:keepNext/>
      <w:pageBreakBefore/>
      <w:widowControl/>
      <w:numPr>
        <w:ilvl w:val="0"/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22">
    <w:name w:val="附录表标号"/>
    <w:basedOn w:val="1"/>
    <w:next w:val="10"/>
    <w:qFormat/>
    <w:uiPriority w:val="0"/>
    <w:pPr>
      <w:numPr>
        <w:ilvl w:val="0"/>
        <w:numId w:val="3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1270</Words>
  <Characters>7240</Characters>
  <Lines>60</Lines>
  <Paragraphs>16</Paragraphs>
  <TotalTime>1</TotalTime>
  <ScaleCrop>false</ScaleCrop>
  <LinksUpToDate>false</LinksUpToDate>
  <CharactersWithSpaces>8494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刘华</dc:creator>
  <cp:lastModifiedBy>洪功飞</cp:lastModifiedBy>
  <cp:lastPrinted>2020-09-17T02:24:00Z</cp:lastPrinted>
  <dcterms:modified xsi:type="dcterms:W3CDTF">2020-09-29T01:47:58Z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