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pPr>
      <w:r>
        <w:rPr>
          <w:rFonts w:ascii="Times New Roman"/>
        </w:rPr>
        <w:t>ICS</w:t>
      </w:r>
      <w:r>
        <w:rPr>
          <w:rFonts w:hint="eastAsia" w:ascii="MS Gothic" w:hAnsi="MS Gothic" w:eastAsia="MS Gothic" w:cs="MS Gothic"/>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    </w:t>
      </w:r>
      <w:r>
        <w:fldChar w:fldCharType="end"/>
      </w:r>
      <w:bookmarkEnd w:id="0"/>
    </w:p>
    <w:p>
      <w:pPr>
        <w:pStyle w:val="36"/>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36"/>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Iri/s1QAAAAcBAAAPAAAAAAAAAAEAIAAAACIAAABkcnMvZG93bnJl&#10;di54bWxQSwECFAAUAAAACACHTuJABeQ0JI4BAAAWAwAADgAAAAAAAAABACAAAAAkAQAAZHJzL2Uy&#10;b0RvYy54bWxQSwUGAAAAAAYABgBZAQAAJAUAAAAA&#10;">
                      <v:fill on="t" focussize="0,0"/>
                      <v:stroke on="f"/>
                      <v:imagedata o:title=""/>
                      <o:lock v:ext="edit" aspectratio="f"/>
                      <v:textbox>
                        <w:txbxContent>
                          <w:p>
                            <w:pPr>
                              <w:jc w:val="center"/>
                            </w:pPr>
                          </w:p>
                        </w:txbxContent>
                      </v:textbox>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31"/>
      </w:pPr>
      <w:r>
        <w:t>DB</w:t>
      </w:r>
      <w:bookmarkStart w:id="3" w:name="c3"/>
      <w:r>
        <w:fldChar w:fldCharType="begin">
          <w:ffData>
            <w:name w:val="c3"/>
            <w:enabled/>
            <w:calcOnExit w:val="0"/>
            <w:entryMacro w:val="ShowHelp16"/>
            <w:textInput>
              <w:maxLength w:val="2"/>
            </w:textInput>
          </w:ffData>
        </w:fldChar>
      </w:r>
      <w:r>
        <w:instrText xml:space="preserve"> FORMTEXT </w:instrText>
      </w:r>
      <w:r>
        <w:fldChar w:fldCharType="separate"/>
      </w:r>
      <w:r>
        <w:rPr>
          <w:rFonts w:hint="eastAsia"/>
        </w:rPr>
        <w:t>34</w:t>
      </w:r>
      <w:r>
        <w:fldChar w:fldCharType="end"/>
      </w:r>
      <w:bookmarkEnd w:id="3"/>
    </w:p>
    <w:p>
      <w:pPr>
        <w:pStyle w:val="35"/>
      </w:pPr>
      <w:bookmarkStart w:id="4" w:name="c4"/>
      <w:r>
        <w:fldChar w:fldCharType="begin">
          <w:ffData>
            <w:name w:val="c4"/>
            <w:enabled/>
            <w:calcOnExit w:val="0"/>
            <w:entryMacro w:val="showhelp12"/>
            <w:textInput/>
          </w:ffData>
        </w:fldChar>
      </w:r>
      <w:r>
        <w:instrText xml:space="preserve"> FORMTEXT </w:instrText>
      </w:r>
      <w:r>
        <w:fldChar w:fldCharType="separate"/>
      </w:r>
      <w:r>
        <w:rPr>
          <w:rFonts w:hint="eastAsia"/>
        </w:rPr>
        <w:t>安徽省</w:t>
      </w:r>
      <w:r>
        <w:fldChar w:fldCharType="end"/>
      </w:r>
      <w:bookmarkEnd w:id="4"/>
      <w:r>
        <w:rPr>
          <w:rFonts w:hint="eastAsia"/>
        </w:rPr>
        <w:t>地方标准</w:t>
      </w:r>
    </w:p>
    <w:p>
      <w:pPr>
        <w:pStyle w:val="33"/>
      </w:pPr>
      <w:r>
        <w:rPr>
          <w:rFonts w:ascii="Times New Roman"/>
        </w:rPr>
        <w:t xml:space="preserve">DB </w:t>
      </w:r>
      <w:bookmarkStart w:id="5" w:name="StdNo0"/>
      <w:r>
        <w:fldChar w:fldCharType="begin">
          <w:ffData>
            <w:name w:val="StdNo0"/>
            <w:enabled/>
            <w:calcOnExit w:val="0"/>
            <w:textInput>
              <w:default w:val="XX"/>
              <w:maxLength w:val="2"/>
            </w:textInput>
          </w:ffData>
        </w:fldChar>
      </w:r>
      <w:r>
        <w:instrText xml:space="preserve"> FORMTEXT </w:instrText>
      </w:r>
      <w:r>
        <w:fldChar w:fldCharType="separate"/>
      </w:r>
      <w:r>
        <w:rPr>
          <w:rFonts w:hint="eastAsia"/>
        </w:rPr>
        <w:t>34</w:t>
      </w:r>
      <w:r>
        <w:fldChar w:fldCharType="end"/>
      </w:r>
      <w:bookmarkEnd w:id="5"/>
      <w:r>
        <w:t xml:space="preserve">/ </w:t>
      </w:r>
      <w:bookmarkStart w:id="6" w:name="StdNo1"/>
      <w:r>
        <w:fldChar w:fldCharType="begin">
          <w:ffData>
            <w:name w:val="StdNo1"/>
            <w:enabled/>
            <w:calcOnExit w:val="0"/>
            <w:textInput>
              <w:default w:val="XXXXX"/>
            </w:textInput>
          </w:ffData>
        </w:fldChar>
      </w:r>
      <w:r>
        <w:instrText xml:space="preserve"> FORMTEXT </w:instrText>
      </w:r>
      <w:r>
        <w:fldChar w:fldCharType="separate"/>
      </w:r>
      <w:r>
        <w:t>T</w:t>
      </w:r>
      <w:r>
        <w:fldChar w:fldCharType="end"/>
      </w:r>
      <w:bookmarkEnd w:id="6"/>
      <w:r>
        <w:t>—</w:t>
      </w:r>
      <w:bookmarkStart w:id="7"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7"/>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38"/>
            </w:pPr>
            <w:bookmarkStart w:id="8" w:name="DT"/>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33"/>
      </w:pPr>
    </w:p>
    <w:p>
      <w:pPr>
        <w:pStyle w:val="33"/>
      </w:pPr>
    </w:p>
    <w:p>
      <w:pPr>
        <w:pStyle w:val="26"/>
      </w:pPr>
      <w:bookmarkStart w:id="9" w:name="StdEnglishName"/>
      <w:r>
        <w:rPr>
          <w:rFonts w:hint="eastAsia"/>
        </w:rPr>
        <w:t>病死及病害</w:t>
      </w:r>
      <w:r>
        <w:rPr>
          <w:rFonts w:hint="eastAsia"/>
          <w:lang w:val="en-US" w:eastAsia="zh-CN"/>
        </w:rPr>
        <w:t>畜禽</w:t>
      </w:r>
      <w:r>
        <w:rPr>
          <w:rFonts w:hint="eastAsia"/>
        </w:rPr>
        <w:t>无害化综合处理生物安全风险评估技术规范</w:t>
      </w:r>
    </w:p>
    <w:p>
      <w:pPr>
        <w:framePr w:w="9639" w:h="6917" w:hRule="exact" w:wrap="around" w:vAnchor="page" w:hAnchor="page" w:xAlign="center" w:y="6408" w:anchorLock="1"/>
        <w:jc w:val="center"/>
        <w:rPr>
          <w:rFonts w:ascii="黑体" w:hAnsi="黑体" w:eastAsia="黑体"/>
          <w:sz w:val="52"/>
          <w:szCs w:val="52"/>
        </w:rPr>
      </w:pPr>
    </w:p>
    <w:bookmarkEnd w:id="9"/>
    <w:p>
      <w:pPr>
        <w:framePr w:w="9639" w:h="6917" w:hRule="exact" w:wrap="around" w:vAnchor="page" w:hAnchor="page" w:xAlign="center" w:y="6408" w:anchorLock="1"/>
        <w:jc w:val="center"/>
        <w:rPr>
          <w:rFonts w:ascii="Times New Roman" w:hAnsi="Times New Roman" w:eastAsia="楷体" w:cs="Times New Roman"/>
          <w:sz w:val="28"/>
          <w:szCs w:val="28"/>
        </w:rPr>
      </w:pPr>
      <w:r>
        <w:rPr>
          <w:rFonts w:hint="eastAsia" w:ascii="Times New Roman" w:hAnsi="Times New Roman" w:eastAsia="楷体" w:cs="Times New Roman"/>
          <w:color w:val="333333"/>
          <w:sz w:val="28"/>
          <w:szCs w:val="28"/>
        </w:rPr>
        <w:t>Technical specification for biosafety risk assessment of integrated harmless treatment of dead and diseased livestock and poultry</w:t>
      </w:r>
    </w:p>
    <w:p>
      <w:pPr>
        <w:pStyle w:val="29"/>
      </w:pPr>
      <w:bookmarkStart w:id="10"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10"/>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8"/>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f1/fg1wAAAAsBAAAPAAAAAAAAAAEAIAAAACIAAABkcnMvZG93bnJldi54&#10;bWxQSwECFAAUAAAACACHTuJAf2KClokBAAAWAwAADgAAAAAAAAABACAAAAAmAQAAZHJzL2Uyb0Rv&#10;Yy54bWxQSwUGAAAAAAYABgBZAQAAIQUAAAAA&#10;">
                      <v:fill on="t" focussize="0,0"/>
                      <v:stroke on="f"/>
                      <v:imagedata o:title=""/>
                      <o:lock v:ext="edit" aspectratio="f"/>
                      <v:textbox>
                        <w:txbxContent>
                          <w:p>
                            <w:pPr>
                              <w:jc w:val="center"/>
                            </w:pPr>
                          </w:p>
                        </w:txbxContent>
                      </v:textbox>
                      <w10:anchorlock/>
                    </v:rect>
                  </w:pict>
                </mc:Fallback>
              </mc:AlternateContent>
            </w:r>
            <w:r>
              <w:rPr>
                <w:rFonts w:hint="eastAsia"/>
              </w:rPr>
              <w:t>（</w:t>
            </w:r>
            <w:r>
              <w:rPr>
                <w:rFonts w:hint="eastAsia"/>
                <w:lang w:val="en-US" w:eastAsia="zh-CN"/>
              </w:rPr>
              <w:t>征求意见</w:t>
            </w:r>
            <w:r>
              <w:rPr>
                <w:rFonts w:hint="eastAsia"/>
              </w:rPr>
              <w:t>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7"/>
            </w:pPr>
            <w:r>
              <w:rPr>
                <w:rFonts w:hint="eastAsia"/>
              </w:rPr>
              <w:t>（本稿完成日期：2</w:t>
            </w:r>
            <w:r>
              <w:rPr>
                <w:rFonts w:hint="eastAsia"/>
                <w:lang w:val="en-US" w:eastAsia="zh-CN"/>
              </w:rPr>
              <w:t>020</w:t>
            </w:r>
            <w:r>
              <w:rPr>
                <w:rFonts w:hint="eastAsia"/>
              </w:rPr>
              <w:t>年7月</w:t>
            </w:r>
            <w:r>
              <w:rPr>
                <w:rFonts w:hint="eastAsia"/>
                <w:lang w:val="en-US" w:eastAsia="zh-CN"/>
              </w:rPr>
              <w:t>27</w:t>
            </w:r>
            <w:r>
              <w:rPr>
                <w:rFonts w:hint="eastAsia"/>
              </w:rPr>
              <w:t>日）</w:t>
            </w:r>
          </w:p>
        </w:tc>
      </w:tr>
    </w:tbl>
    <w:p>
      <w:pPr>
        <w:pStyle w:val="32"/>
        <w:framePr w:hAnchor="page" w:x="1291" w:y="14161"/>
      </w:pPr>
      <w:bookmarkStart w:id="11"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w:t>
      </w:r>
      <w:r>
        <w:rPr>
          <w:rFonts w:ascii="黑体"/>
        </w:rPr>
        <w:fldChar w:fldCharType="end"/>
      </w:r>
      <w:bookmarkEnd w:id="11"/>
      <w:r>
        <w:rPr>
          <w:rFonts w:hint="eastAsia" w:ascii="黑体"/>
          <w:shd w:val="clear" w:color="FFFFFF" w:fill="D9D9D9"/>
          <w:lang w:val="en-US" w:eastAsia="zh-CN"/>
        </w:rPr>
        <w:t>20</w:t>
      </w:r>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2"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-17780</wp:posOffset>
                </wp:positionH>
                <wp:positionV relativeFrom="page">
                  <wp:posOffset>9315450</wp:posOffset>
                </wp:positionV>
                <wp:extent cx="6120130" cy="0"/>
                <wp:effectExtent l="0" t="0" r="0" b="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4pt;margin-top:733.5pt;height:0pt;width:481.9pt;mso-position-vertical-relative:page;z-index:251659264;mso-width-relative:page;mso-height-relative:page;" filled="f" stroked="t" coordsize="21600,21600" o:gfxdata="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O4o3tcAAAAMAQAADwAAAAAAAAABACAAAAAiAAAAZHJz&#10;L2Rvd25yZXYueG1sUEsBAhQAFAAAAAgAh07iQH/KAznMAQAAjgMAAA4AAAAAAAAAAQAgAAAAJgEA&#10;AGRycy9lMm9Eb2MueG1sUEsFBgAAAAAGAAYAWQEAAGQFAAAAAA==&#10;">
                <v:fill on="f" focussize="0,0"/>
                <v:stroke color="#000000" joinstyle="round"/>
                <v:imagedata o:title=""/>
                <o:lock v:ext="edit" aspectratio="f"/>
                <w10:anchorlock/>
              </v:line>
            </w:pict>
          </mc:Fallback>
        </mc:AlternateContent>
      </w:r>
    </w:p>
    <w:p>
      <w:pPr>
        <w:pStyle w:val="37"/>
        <w:framePr w:hAnchor="page" w:x="6811" w:y="14086"/>
      </w:pPr>
      <w:bookmarkStart w:id="13"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w:t>
      </w:r>
      <w:r>
        <w:rPr>
          <w:rFonts w:ascii="黑体"/>
        </w:rPr>
        <w:fldChar w:fldCharType="end"/>
      </w:r>
      <w:bookmarkEnd w:id="13"/>
      <w:r>
        <w:rPr>
          <w:rFonts w:hint="eastAsia" w:ascii="黑体"/>
          <w:shd w:val="clear" w:color="FFFFFF" w:fill="D9D9D9"/>
          <w:lang w:val="en-US" w:eastAsia="zh-CN"/>
        </w:rPr>
        <w:t>20</w:t>
      </w:r>
      <w:r>
        <w:t xml:space="preserve"> </w:t>
      </w:r>
      <w:r>
        <w:rPr>
          <w:rFonts w:ascii="黑体"/>
        </w:rPr>
        <w:t>-</w:t>
      </w:r>
      <w:r>
        <w:t xml:space="preserve"> </w:t>
      </w:r>
      <w:bookmarkStart w:id="14"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bookmarkStart w:id="15"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34"/>
      </w:pPr>
      <w:bookmarkStart w:id="16" w:name="fm"/>
      <w:r>
        <w:rPr>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5te7W2QAAAA0BAAAPAAAAAAAAAAEAIAAAACIAAABkcnMvZG93bnJl&#10;di54bWxQSwECFAAUAAAACACHTuJAP6uvvIoBAAAWAwAADgAAAAAAAAABACAAAAAoAQAAZHJzL2Uy&#10;b0RvYy54bWxQSwUGAAAAAAYABgBZAQAAJAUAAAAA&#10;">
                <v:fill on="t" focussize="0,0"/>
                <v:stroke on="f"/>
                <v:imagedata o:title=""/>
                <o:lock v:ext="edit" aspectratio="f"/>
                <v:textbox>
                  <w:txbxContent>
                    <w:p>
                      <w:pPr>
                        <w:jc w:val="center"/>
                      </w:pPr>
                    </w:p>
                  </w:txbxContent>
                </v:textbox>
              </v:rect>
            </w:pict>
          </mc:Fallback>
        </mc:AlternateContent>
      </w:r>
      <w:r>
        <w:rPr>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fyYoR2gAAAA8BAAAPAAAAAAAAAAEAIAAAACIAAABkcnMvZG93bnJl&#10;di54bWxQSwECFAAUAAAACACHTuJAIjKKFIkBAAAWAwAADgAAAAAAAAABACAAAAApAQAAZHJzL2Uy&#10;b0RvYy54bWxQSwUGAAAAAAYABgBZAQAAJAUAAAAA&#10;">
                <v:fill on="t" focussize="0,0"/>
                <v:stroke on="f"/>
                <v:imagedata o:title=""/>
                <o:lock v:ext="edit" aspectratio="f"/>
                <v:textbox>
                  <w:txbxContent>
                    <w:p>
                      <w:pPr>
                        <w:jc w:val="center"/>
                      </w:pPr>
                    </w:p>
                  </w:txbxContent>
                </v:textbox>
              </v:rect>
            </w:pict>
          </mc:Fallback>
        </mc:AlternateContent>
      </w:r>
      <w:r>
        <w:rPr>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&#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7JZGg2AAAAA8BAAAPAAAAAAAAAAEAIAAAACIAAABk&#10;cnMvZG93bnJldi54bWxQSwECFAAUAAAACACHTuJASXBnrc0BAACOAwAADgAAAAAAAAABACAAAAAn&#10;AQAAZHJzL2Uyb0RvYy54bWxQSwUGAAAAAAYABgBZAQAAZgUAAAAA&#10;">
                <v:fill on="f" focussize="0,0"/>
                <v:stroke color="#000000" joinstyle="round"/>
                <v:imagedata o:title=""/>
                <o:lock v:ext="edit" aspectratio="f"/>
              </v:line>
            </w:pict>
          </mc:Fallback>
        </mc:AlternateContent>
      </w:r>
      <w:r>
        <w:fldChar w:fldCharType="begin">
          <w:ffData>
            <w:enabled/>
            <w:calcOnExit w:val="0"/>
            <w:textInput/>
          </w:ffData>
        </w:fldChar>
      </w:r>
      <w:r>
        <w:instrText xml:space="preserve"> FORMTEXT </w:instrText>
      </w:r>
      <w:r>
        <w:fldChar w:fldCharType="separate"/>
      </w:r>
      <w:r>
        <w:rPr>
          <w:rFonts w:hint="eastAsia"/>
        </w:rPr>
        <w:t>安徽省市场监督管理局</w:t>
      </w:r>
      <w:r>
        <w:fldChar w:fldCharType="end"/>
      </w:r>
      <w:bookmarkEnd w:id="16"/>
      <w:r>
        <w:t>   </w:t>
      </w:r>
      <w:r>
        <w:rPr>
          <w:rStyle w:val="25"/>
          <w:rFonts w:hint="eastAsia"/>
        </w:rPr>
        <w:t>发布</w:t>
      </w:r>
    </w:p>
    <w:p>
      <w:pPr>
        <w:pStyle w:val="15"/>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567" w:right="850" w:bottom="1134" w:left="1418" w:header="0" w:footer="0" w:gutter="0"/>
          <w:pgNumType w:start="1"/>
          <w:cols w:space="720" w:num="1"/>
          <w:titlePg/>
          <w:docGrid w:type="lines" w:linePitch="312" w:charSpace="0"/>
        </w:sectPr>
      </w:pPr>
    </w:p>
    <w:p>
      <w:pPr>
        <w:pStyle w:val="14"/>
      </w:pPr>
      <w:r>
        <w:rPr>
          <w:rFonts w:hint="eastAsia"/>
        </w:rPr>
        <w:t>前</w:t>
      </w:r>
      <w:bookmarkStart w:id="17" w:name="BKQY"/>
      <w:r>
        <w:t>  </w:t>
      </w:r>
      <w:r>
        <w:rPr>
          <w:rFonts w:hint="eastAsia"/>
        </w:rPr>
        <w:t>言</w:t>
      </w:r>
      <w:bookmarkEnd w:id="17"/>
    </w:p>
    <w:p>
      <w:pPr>
        <w:ind w:firstLine="420" w:firstLineChars="200"/>
        <w:rPr>
          <w:rFonts w:ascii="宋体"/>
        </w:rPr>
      </w:pPr>
      <w:r>
        <w:rPr>
          <w:rFonts w:hint="eastAsia" w:ascii="宋体" w:hAnsi="宋体"/>
        </w:rPr>
        <w:t>本</w:t>
      </w:r>
      <w:r>
        <w:rPr>
          <w:rFonts w:hint="eastAsia" w:ascii="宋体" w:hAnsi="宋体"/>
          <w:lang w:eastAsia="zh-CN"/>
        </w:rPr>
        <w:t>文件</w:t>
      </w:r>
      <w:r>
        <w:rPr>
          <w:rFonts w:hint="eastAsia" w:ascii="宋体" w:hAnsi="宋体"/>
        </w:rPr>
        <w:t>按</w:t>
      </w:r>
      <w:r>
        <w:rPr>
          <w:rFonts w:ascii="宋体" w:hAnsi="宋体"/>
        </w:rPr>
        <w:t>GB/T 1.1-20</w:t>
      </w:r>
      <w:r>
        <w:rPr>
          <w:rFonts w:hint="eastAsia" w:ascii="宋体" w:hAnsi="宋体"/>
          <w:lang w:val="en-US" w:eastAsia="zh-CN"/>
        </w:rPr>
        <w:t xml:space="preserve">20 </w:t>
      </w:r>
      <w:r>
        <w:rPr>
          <w:rFonts w:hint="eastAsia" w:ascii="宋体" w:hAnsi="宋体"/>
        </w:rPr>
        <w:t>给出的规</w:t>
      </w:r>
      <w:r>
        <w:rPr>
          <w:rFonts w:hint="eastAsia" w:ascii="宋体" w:hAnsi="宋体"/>
          <w:lang w:eastAsia="zh-CN"/>
        </w:rPr>
        <w:t>定</w:t>
      </w:r>
      <w:r>
        <w:rPr>
          <w:rFonts w:hint="eastAsia" w:ascii="宋体" w:hAnsi="宋体"/>
        </w:rPr>
        <w:t>起草。</w:t>
      </w:r>
    </w:p>
    <w:p>
      <w:pPr>
        <w:ind w:firstLine="420" w:firstLineChars="200"/>
        <w:rPr>
          <w:rFonts w:ascii="宋体"/>
        </w:rPr>
      </w:pPr>
      <w:r>
        <w:rPr>
          <w:rFonts w:hint="eastAsia" w:ascii="宋体" w:hAnsi="宋体"/>
        </w:rPr>
        <w:t>本</w:t>
      </w:r>
      <w:r>
        <w:rPr>
          <w:rFonts w:hint="eastAsia" w:ascii="宋体" w:hAnsi="宋体"/>
          <w:lang w:eastAsia="zh-CN"/>
        </w:rPr>
        <w:t>文件</w:t>
      </w:r>
      <w:r>
        <w:rPr>
          <w:rFonts w:hint="eastAsia" w:ascii="宋体" w:hAnsi="宋体"/>
        </w:rPr>
        <w:t>由安徽省动物</w:t>
      </w:r>
      <w:r>
        <w:rPr>
          <w:rFonts w:hint="eastAsia" w:ascii="宋体" w:hAnsi="宋体"/>
          <w:lang w:val="en-US" w:eastAsia="zh-CN"/>
        </w:rPr>
        <w:t>卫生监督所</w:t>
      </w:r>
      <w:r>
        <w:rPr>
          <w:rFonts w:hint="eastAsia" w:ascii="宋体" w:hAnsi="宋体"/>
        </w:rPr>
        <w:t>提出。</w:t>
      </w:r>
    </w:p>
    <w:p>
      <w:pPr>
        <w:ind w:firstLine="420" w:firstLineChars="200"/>
        <w:rPr>
          <w:rFonts w:ascii="宋体"/>
        </w:rPr>
      </w:pPr>
      <w:r>
        <w:rPr>
          <w:rFonts w:hint="eastAsia" w:ascii="宋体" w:hAnsi="宋体"/>
        </w:rPr>
        <w:t>本</w:t>
      </w:r>
      <w:r>
        <w:rPr>
          <w:rFonts w:hint="eastAsia" w:ascii="宋体" w:hAnsi="宋体"/>
          <w:lang w:eastAsia="zh-CN"/>
        </w:rPr>
        <w:t>文件</w:t>
      </w:r>
      <w:r>
        <w:rPr>
          <w:rFonts w:hint="eastAsia" w:ascii="宋体" w:hAnsi="宋体"/>
        </w:rPr>
        <w:t>由安徽省农业标准化委员会归口管理。</w:t>
      </w:r>
    </w:p>
    <w:p>
      <w:pPr>
        <w:ind w:firstLine="420" w:firstLineChars="200"/>
        <w:rPr>
          <w:rFonts w:hint="eastAsia"/>
        </w:rPr>
      </w:pPr>
      <w:r>
        <w:rPr>
          <w:rFonts w:hint="eastAsia" w:ascii="宋体" w:hAnsi="宋体"/>
        </w:rPr>
        <w:t>本</w:t>
      </w:r>
      <w:r>
        <w:rPr>
          <w:rFonts w:hint="eastAsia" w:ascii="宋体" w:hAnsi="宋体"/>
          <w:lang w:eastAsia="zh-CN"/>
        </w:rPr>
        <w:t>文件</w:t>
      </w:r>
      <w:r>
        <w:rPr>
          <w:rFonts w:hint="eastAsia" w:ascii="宋体" w:hAnsi="宋体"/>
        </w:rPr>
        <w:t>起草单位：安徽省</w:t>
      </w:r>
      <w:r>
        <w:rPr>
          <w:rFonts w:hint="eastAsia" w:ascii="宋体" w:hAnsi="宋体"/>
          <w:lang w:val="en-US" w:eastAsia="zh-CN"/>
        </w:rPr>
        <w:t>动物卫生监督所</w:t>
      </w:r>
      <w:r>
        <w:rPr>
          <w:rFonts w:hint="eastAsia" w:ascii="宋体" w:hAnsi="宋体"/>
        </w:rPr>
        <w:t>、</w:t>
      </w:r>
      <w:r>
        <w:rPr>
          <w:rFonts w:hint="eastAsia"/>
        </w:rPr>
        <w:t>阜阳市动物卫生监督所、</w:t>
      </w:r>
      <w:r>
        <w:rPr>
          <w:rFonts w:hint="eastAsia"/>
          <w:lang w:eastAsia="zh-CN"/>
        </w:rPr>
        <w:t>安徽省动物疫病预防与控制中心、</w:t>
      </w:r>
      <w:r>
        <w:rPr>
          <w:rFonts w:hint="eastAsia"/>
        </w:rPr>
        <w:t>太和县安泰动物无害化处理厂、安徽省动物疫病预防与控制中心、安徽省农业农村厅畜牧处</w:t>
      </w:r>
      <w:r>
        <w:rPr>
          <w:rFonts w:hint="eastAsia"/>
          <w:lang w:eastAsia="zh-CN"/>
        </w:rPr>
        <w:t>、</w:t>
      </w:r>
      <w:r>
        <w:rPr>
          <w:rFonts w:hint="eastAsia"/>
        </w:rPr>
        <w:t>安徽农业大学</w:t>
      </w:r>
    </w:p>
    <w:p>
      <w:pPr>
        <w:ind w:firstLine="420" w:firstLineChars="200"/>
      </w:pPr>
      <w:r>
        <w:rPr>
          <w:rFonts w:hint="eastAsia" w:ascii="宋体" w:hAnsi="宋体"/>
        </w:rPr>
        <w:t>本</w:t>
      </w:r>
      <w:r>
        <w:rPr>
          <w:rFonts w:hint="eastAsia" w:ascii="宋体" w:hAnsi="宋体"/>
          <w:lang w:eastAsia="zh-CN"/>
        </w:rPr>
        <w:t>文件</w:t>
      </w:r>
      <w:bookmarkStart w:id="18" w:name="_GoBack"/>
      <w:bookmarkEnd w:id="18"/>
      <w:r>
        <w:rPr>
          <w:rFonts w:hint="eastAsia" w:ascii="宋体" w:hAnsi="宋体"/>
        </w:rPr>
        <w:t>主要起草人：</w:t>
      </w:r>
      <w:r>
        <w:rPr>
          <w:rFonts w:hint="eastAsia"/>
        </w:rPr>
        <w:t xml:space="preserve"> </w:t>
      </w:r>
      <w:r>
        <w:rPr>
          <w:rFonts w:hint="eastAsia"/>
          <w:lang w:eastAsia="zh-CN"/>
        </w:rPr>
        <w:t>徐凤云、</w:t>
      </w:r>
      <w:r>
        <w:rPr>
          <w:rFonts w:hint="eastAsia" w:ascii="宋体" w:hAnsi="宋体"/>
          <w:color w:val="000000"/>
          <w:szCs w:val="21"/>
          <w:lang w:val="en-US" w:eastAsia="zh-CN"/>
        </w:rPr>
        <w:t>张家森、丁春水、洪功飞、金晓宇、胡桢、姚淑娟、徐磊、钱瑜、张红璠、</w:t>
      </w:r>
      <w:r>
        <w:rPr>
          <w:rFonts w:hint="eastAsia" w:ascii="Times New Roman" w:hAnsi="Times New Roman"/>
          <w:sz w:val="18"/>
          <w:szCs w:val="22"/>
          <w:lang w:val="en-US" w:eastAsia="zh-CN"/>
        </w:rPr>
        <w:t>陈晨</w:t>
      </w:r>
      <w:r>
        <w:rPr>
          <w:rFonts w:hint="eastAsia" w:ascii="宋体" w:hAnsi="宋体"/>
          <w:color w:val="000000"/>
          <w:szCs w:val="21"/>
          <w:lang w:val="en-US" w:eastAsia="zh-CN"/>
        </w:rPr>
        <w:t>、嵇斌、</w:t>
      </w:r>
      <w:r>
        <w:rPr>
          <w:rFonts w:hint="eastAsia" w:ascii="Times New Roman" w:hAnsi="Times New Roman"/>
          <w:sz w:val="18"/>
          <w:szCs w:val="22"/>
          <w:lang w:val="en-US" w:eastAsia="zh-CN"/>
        </w:rPr>
        <w:t>王振杰、</w:t>
      </w:r>
      <w:r>
        <w:rPr>
          <w:rFonts w:hint="eastAsia" w:ascii="Times New Roman" w:hAnsi="Times New Roman"/>
          <w:sz w:val="18"/>
          <w:szCs w:val="22"/>
        </w:rPr>
        <w:t>李郁</w:t>
      </w:r>
      <w:r>
        <w:rPr>
          <w:rFonts w:hint="eastAsia" w:ascii="Times New Roman" w:hAnsi="Times New Roman"/>
          <w:sz w:val="18"/>
          <w:szCs w:val="22"/>
          <w:lang w:eastAsia="zh-CN"/>
        </w:rPr>
        <w:t>、</w:t>
      </w:r>
      <w:r>
        <w:rPr>
          <w:rFonts w:hint="eastAsia" w:ascii="Times New Roman" w:hAnsi="Times New Roman"/>
          <w:sz w:val="18"/>
          <w:szCs w:val="22"/>
          <w:lang w:val="en-US" w:eastAsia="zh-CN"/>
        </w:rPr>
        <w:t>李雪松、张士清</w:t>
      </w:r>
    </w:p>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病死及病害</w:t>
      </w:r>
      <w:r>
        <w:rPr>
          <w:rFonts w:hint="eastAsia" w:ascii="黑体" w:hAnsi="黑体" w:eastAsia="黑体"/>
          <w:sz w:val="32"/>
          <w:szCs w:val="32"/>
          <w:lang w:val="en-US" w:eastAsia="zh-CN"/>
        </w:rPr>
        <w:t>畜禽</w:t>
      </w:r>
      <w:r>
        <w:rPr>
          <w:rFonts w:hint="eastAsia" w:ascii="黑体" w:hAnsi="黑体" w:eastAsia="黑体"/>
          <w:sz w:val="32"/>
          <w:szCs w:val="32"/>
        </w:rPr>
        <w:t>无害化综合处理生物</w:t>
      </w:r>
    </w:p>
    <w:p>
      <w:pPr>
        <w:jc w:val="center"/>
        <w:rPr>
          <w:rFonts w:hint="eastAsia" w:ascii="黑体" w:hAnsi="黑体" w:eastAsia="黑体"/>
          <w:sz w:val="32"/>
          <w:szCs w:val="32"/>
        </w:rPr>
      </w:pPr>
      <w:r>
        <w:rPr>
          <w:rFonts w:hint="eastAsia" w:ascii="黑体" w:hAnsi="黑体" w:eastAsia="黑体"/>
          <w:sz w:val="32"/>
          <w:szCs w:val="32"/>
        </w:rPr>
        <w:t>安全风险评估技术规范</w:t>
      </w:r>
    </w:p>
    <w:p>
      <w:pPr>
        <w:pStyle w:val="18"/>
        <w:spacing w:before="312" w:after="312" w:line="360" w:lineRule="auto"/>
      </w:pPr>
      <w:r>
        <w:rPr>
          <w:rFonts w:hint="eastAsia"/>
        </w:rPr>
        <w:t>范围</w:t>
      </w:r>
    </w:p>
    <w:p>
      <w:pPr>
        <w:pStyle w:val="15"/>
        <w:spacing w:line="360" w:lineRule="auto"/>
        <w:rPr>
          <w:rFonts w:hint="eastAsia" w:hAnsi="Times New Roman" w:cs="Times New Roman"/>
          <w:color w:val="auto"/>
          <w:lang w:val="en-US" w:eastAsia="zh-CN"/>
        </w:rPr>
      </w:pPr>
      <w:r>
        <w:rPr>
          <w:rFonts w:hint="eastAsia" w:hAnsi="Times New Roman" w:cs="Times New Roman"/>
          <w:color w:val="auto"/>
          <w:lang w:val="en-US" w:eastAsia="zh-CN"/>
        </w:rPr>
        <w:t>本标准</w:t>
      </w:r>
      <w:r>
        <w:rPr>
          <w:rFonts w:hint="eastAsia" w:cs="Times New Roman"/>
          <w:color w:val="auto"/>
          <w:lang w:val="en-US" w:eastAsia="zh-CN"/>
        </w:rPr>
        <w:t>规定</w:t>
      </w:r>
      <w:r>
        <w:rPr>
          <w:rFonts w:hint="eastAsia" w:hAnsi="Times New Roman" w:cs="Times New Roman"/>
          <w:color w:val="auto"/>
        </w:rPr>
        <w:t>了病死及病害</w:t>
      </w:r>
      <w:r>
        <w:rPr>
          <w:rFonts w:hint="eastAsia" w:hAnsi="Times New Roman" w:cs="Times New Roman"/>
          <w:color w:val="auto"/>
          <w:lang w:val="en-US" w:eastAsia="zh-CN"/>
        </w:rPr>
        <w:t>畜禽</w:t>
      </w:r>
      <w:r>
        <w:rPr>
          <w:rFonts w:hint="eastAsia" w:hAnsi="Times New Roman" w:cs="Times New Roman"/>
          <w:color w:val="auto"/>
        </w:rPr>
        <w:t>无害化</w:t>
      </w:r>
      <w:r>
        <w:rPr>
          <w:rFonts w:hint="eastAsia" w:hAnsi="Times New Roman" w:cs="Times New Roman"/>
          <w:color w:val="auto"/>
          <w:lang w:val="en-US" w:eastAsia="zh-CN"/>
        </w:rPr>
        <w:t>综合</w:t>
      </w:r>
      <w:r>
        <w:rPr>
          <w:rFonts w:hint="eastAsia" w:hAnsi="Times New Roman" w:cs="Times New Roman"/>
          <w:color w:val="auto"/>
        </w:rPr>
        <w:t>处理生物安全</w:t>
      </w:r>
      <w:r>
        <w:rPr>
          <w:rFonts w:hint="eastAsia" w:hAnsi="Times New Roman" w:cs="Times New Roman"/>
          <w:color w:val="auto"/>
          <w:lang w:val="en-US" w:eastAsia="zh-CN"/>
        </w:rPr>
        <w:t>风险评估</w:t>
      </w:r>
      <w:r>
        <w:rPr>
          <w:rFonts w:hint="eastAsia" w:cs="Times New Roman"/>
          <w:color w:val="auto"/>
          <w:lang w:val="en-US" w:eastAsia="zh-CN"/>
        </w:rPr>
        <w:t>的</w:t>
      </w:r>
      <w:r>
        <w:rPr>
          <w:rFonts w:hint="eastAsia" w:hAnsi="Times New Roman" w:cs="Times New Roman"/>
          <w:color w:val="auto"/>
          <w:lang w:val="en-US" w:eastAsia="zh-CN"/>
        </w:rPr>
        <w:t>风险因子</w:t>
      </w:r>
      <w:r>
        <w:rPr>
          <w:rFonts w:hint="eastAsia" w:cs="Times New Roman"/>
          <w:color w:val="auto"/>
          <w:lang w:eastAsia="zh-CN"/>
        </w:rPr>
        <w:t>、</w:t>
      </w:r>
      <w:r>
        <w:rPr>
          <w:rFonts w:hint="eastAsia" w:hAnsi="Times New Roman" w:cs="Times New Roman"/>
          <w:color w:val="auto"/>
          <w:lang w:val="en-US" w:eastAsia="zh-CN"/>
        </w:rPr>
        <w:t>风险因子的权重、风险</w:t>
      </w:r>
      <w:r>
        <w:rPr>
          <w:rFonts w:hint="eastAsia" w:cs="Times New Roman"/>
          <w:color w:val="auto"/>
          <w:lang w:val="en-US" w:eastAsia="zh-CN"/>
        </w:rPr>
        <w:t>级别</w:t>
      </w:r>
      <w:r>
        <w:rPr>
          <w:rFonts w:hint="eastAsia" w:hAnsi="Times New Roman" w:cs="Times New Roman"/>
          <w:color w:val="auto"/>
          <w:lang w:val="en-US" w:eastAsia="zh-CN"/>
        </w:rPr>
        <w:t>划分</w:t>
      </w:r>
      <w:r>
        <w:rPr>
          <w:rFonts w:hint="eastAsia" w:cs="Times New Roman"/>
          <w:color w:val="auto"/>
          <w:lang w:val="en-US" w:eastAsia="zh-CN"/>
        </w:rPr>
        <w:t>和</w:t>
      </w:r>
      <w:r>
        <w:rPr>
          <w:rFonts w:hint="eastAsia" w:hAnsi="Times New Roman" w:cs="Times New Roman"/>
          <w:color w:val="auto"/>
          <w:lang w:val="en-US" w:eastAsia="zh-CN"/>
        </w:rPr>
        <w:t>建立风险评估模块。</w:t>
      </w:r>
    </w:p>
    <w:p>
      <w:pPr>
        <w:pStyle w:val="15"/>
        <w:spacing w:line="360" w:lineRule="auto"/>
        <w:rPr>
          <w:rFonts w:hint="eastAsia" w:hAnsi="Times New Roman" w:cs="Times New Roman"/>
          <w:color w:val="auto"/>
          <w:lang w:val="en-US" w:eastAsia="zh-CN"/>
        </w:rPr>
      </w:pPr>
      <w:r>
        <w:rPr>
          <w:rFonts w:hint="eastAsia" w:hAnsi="Times New Roman" w:cs="Times New Roman"/>
          <w:color w:val="auto"/>
        </w:rPr>
        <w:t>本</w:t>
      </w:r>
      <w:r>
        <w:rPr>
          <w:rFonts w:hint="eastAsia" w:cs="Times New Roman"/>
          <w:color w:val="auto"/>
          <w:lang w:val="en-US" w:eastAsia="zh-CN"/>
        </w:rPr>
        <w:t>标准</w:t>
      </w:r>
      <w:r>
        <w:rPr>
          <w:rFonts w:hint="eastAsia" w:hAnsi="Times New Roman" w:cs="Times New Roman"/>
          <w:color w:val="auto"/>
        </w:rPr>
        <w:t>适用于病死及病害</w:t>
      </w:r>
      <w:r>
        <w:rPr>
          <w:rFonts w:hint="eastAsia" w:hAnsi="Times New Roman" w:cs="Times New Roman"/>
          <w:color w:val="auto"/>
          <w:lang w:val="en-US" w:eastAsia="zh-CN"/>
        </w:rPr>
        <w:t>畜禽</w:t>
      </w:r>
      <w:r>
        <w:rPr>
          <w:rFonts w:hint="eastAsia" w:hAnsi="Times New Roman" w:cs="Times New Roman"/>
          <w:color w:val="auto"/>
        </w:rPr>
        <w:t>无害化</w:t>
      </w:r>
      <w:r>
        <w:rPr>
          <w:rFonts w:hint="eastAsia" w:hAnsi="Times New Roman" w:cs="Times New Roman"/>
          <w:color w:val="auto"/>
          <w:lang w:val="en-US" w:eastAsia="zh-CN"/>
        </w:rPr>
        <w:t>综合</w:t>
      </w:r>
      <w:r>
        <w:rPr>
          <w:rFonts w:hint="eastAsia" w:hAnsi="Times New Roman" w:cs="Times New Roman"/>
          <w:color w:val="auto"/>
        </w:rPr>
        <w:t>处理生物安全风险</w:t>
      </w:r>
      <w:r>
        <w:rPr>
          <w:rFonts w:hint="eastAsia" w:hAnsi="Times New Roman" w:cs="Times New Roman"/>
          <w:color w:val="auto"/>
          <w:lang w:val="en-US" w:eastAsia="zh-CN"/>
        </w:rPr>
        <w:t>评估。</w:t>
      </w:r>
    </w:p>
    <w:p>
      <w:pPr>
        <w:pStyle w:val="18"/>
        <w:spacing w:before="312" w:after="312" w:line="360" w:lineRule="auto"/>
        <w:rPr>
          <w:color w:val="auto"/>
        </w:rPr>
      </w:pPr>
      <w:r>
        <w:rPr>
          <w:rFonts w:hint="eastAsia"/>
          <w:color w:val="auto"/>
        </w:rPr>
        <w:t>规范性引用文件</w:t>
      </w:r>
    </w:p>
    <w:p>
      <w:pPr>
        <w:pStyle w:val="15"/>
        <w:spacing w:line="360" w:lineRule="auto"/>
        <w:rPr>
          <w:color w:val="auto"/>
        </w:rPr>
      </w:pPr>
      <w:r>
        <w:rPr>
          <w:rFonts w:hint="eastAsia"/>
          <w:color w:val="auto"/>
        </w:rPr>
        <w:t>下列文件对于本文件的应用是必不可少的。凡是注日期的引用文件，仅所注日期的版本适用于本文件。凡是不注日期的引用文件，其最新版本（包括所有的修改单）适用于本文件。</w:t>
      </w:r>
    </w:p>
    <w:p>
      <w:pPr>
        <w:ind w:firstLine="420" w:firstLineChars="200"/>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GB</w:t>
      </w:r>
      <w:r>
        <w:rPr>
          <w:rFonts w:hint="eastAsia" w:ascii="Times New Roman" w:hAnsi="Times New Roman" w:eastAsia="宋体" w:cs="Times New Roman"/>
          <w:color w:val="auto"/>
          <w:kern w:val="0"/>
          <w:sz w:val="21"/>
          <w:szCs w:val="20"/>
          <w:lang w:val="en-US" w:eastAsia="zh-CN" w:bidi="ar-SA"/>
        </w:rPr>
        <w:t xml:space="preserve"> </w:t>
      </w:r>
      <w:r>
        <w:rPr>
          <w:rFonts w:hint="default" w:ascii="Times New Roman" w:hAnsi="Times New Roman" w:eastAsia="宋体" w:cs="Times New Roman"/>
          <w:color w:val="auto"/>
          <w:kern w:val="0"/>
          <w:sz w:val="21"/>
          <w:szCs w:val="20"/>
          <w:lang w:val="en-US" w:eastAsia="zh-CN" w:bidi="ar-SA"/>
        </w:rPr>
        <w:t xml:space="preserve">8978   </w:t>
      </w:r>
      <w:r>
        <w:rPr>
          <w:rFonts w:hint="eastAsia" w:ascii="Times New Roman" w:hAnsi="Times New Roman" w:eastAsia="宋体" w:cs="Times New Roman"/>
          <w:color w:val="auto"/>
          <w:kern w:val="0"/>
          <w:sz w:val="21"/>
          <w:szCs w:val="20"/>
          <w:lang w:val="en-US" w:eastAsia="zh-CN" w:bidi="ar-SA"/>
        </w:rPr>
        <w:t xml:space="preserve">  </w:t>
      </w:r>
      <w:r>
        <w:rPr>
          <w:rFonts w:hint="default" w:ascii="Times New Roman" w:hAnsi="Times New Roman" w:eastAsia="宋体" w:cs="Times New Roman"/>
          <w:color w:val="auto"/>
          <w:kern w:val="0"/>
          <w:sz w:val="21"/>
          <w:szCs w:val="20"/>
          <w:lang w:val="en-US" w:eastAsia="zh-CN" w:bidi="ar-SA"/>
        </w:rPr>
        <w:t>污水综合排放标准 　　</w:t>
      </w:r>
    </w:p>
    <w:p>
      <w:pPr>
        <w:ind w:firstLine="420" w:firstLineChars="200"/>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GB</w:t>
      </w:r>
      <w:r>
        <w:rPr>
          <w:rFonts w:hint="eastAsia" w:ascii="Times New Roman" w:hAnsi="Times New Roman" w:eastAsia="宋体" w:cs="Times New Roman"/>
          <w:color w:val="auto"/>
          <w:kern w:val="0"/>
          <w:sz w:val="21"/>
          <w:szCs w:val="20"/>
          <w:lang w:val="en-US" w:eastAsia="zh-CN" w:bidi="ar-SA"/>
        </w:rPr>
        <w:t xml:space="preserve"> </w:t>
      </w:r>
      <w:r>
        <w:rPr>
          <w:rFonts w:hint="default" w:ascii="Times New Roman" w:hAnsi="Times New Roman" w:eastAsia="宋体" w:cs="Times New Roman"/>
          <w:color w:val="auto"/>
          <w:kern w:val="0"/>
          <w:sz w:val="21"/>
          <w:szCs w:val="20"/>
          <w:lang w:val="en-US" w:eastAsia="zh-CN" w:bidi="ar-SA"/>
        </w:rPr>
        <w:t>14554    恶臭污染物排放标准</w:t>
      </w:r>
    </w:p>
    <w:p>
      <w:pPr>
        <w:ind w:firstLine="420" w:firstLineChars="200"/>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GB/T</w:t>
      </w:r>
      <w:r>
        <w:rPr>
          <w:rFonts w:hint="eastAsia" w:ascii="Times New Roman" w:hAnsi="Times New Roman" w:eastAsia="宋体" w:cs="Times New Roman"/>
          <w:color w:val="auto"/>
          <w:kern w:val="0"/>
          <w:sz w:val="21"/>
          <w:szCs w:val="20"/>
          <w:lang w:val="en-US" w:eastAsia="zh-CN" w:bidi="ar-SA"/>
        </w:rPr>
        <w:t xml:space="preserve"> </w:t>
      </w:r>
      <w:r>
        <w:rPr>
          <w:rFonts w:hint="default" w:ascii="Times New Roman" w:hAnsi="Times New Roman" w:eastAsia="宋体" w:cs="Times New Roman"/>
          <w:color w:val="auto"/>
          <w:kern w:val="0"/>
          <w:sz w:val="21"/>
          <w:szCs w:val="20"/>
          <w:lang w:val="en-US" w:eastAsia="zh-CN" w:bidi="ar-SA"/>
        </w:rPr>
        <w:t>16569  畜禽产品消毒规范</w:t>
      </w:r>
    </w:p>
    <w:p>
      <w:pPr>
        <w:ind w:firstLine="420" w:firstLineChars="200"/>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GB</w:t>
      </w:r>
      <w:r>
        <w:rPr>
          <w:rFonts w:hint="eastAsia" w:ascii="Times New Roman" w:hAnsi="Times New Roman" w:eastAsia="宋体" w:cs="Times New Roman"/>
          <w:color w:val="auto"/>
          <w:kern w:val="0"/>
          <w:sz w:val="21"/>
          <w:szCs w:val="20"/>
          <w:lang w:val="en-US" w:eastAsia="zh-CN" w:bidi="ar-SA"/>
        </w:rPr>
        <w:t xml:space="preserve"> </w:t>
      </w:r>
      <w:r>
        <w:rPr>
          <w:rFonts w:hint="default" w:ascii="Times New Roman" w:hAnsi="Times New Roman" w:eastAsia="宋体" w:cs="Times New Roman"/>
          <w:color w:val="auto"/>
          <w:kern w:val="0"/>
          <w:sz w:val="21"/>
          <w:szCs w:val="20"/>
          <w:lang w:val="en-US" w:eastAsia="zh-CN" w:bidi="ar-SA"/>
        </w:rPr>
        <w:t>19217</w:t>
      </w:r>
      <w:r>
        <w:rPr>
          <w:rFonts w:hint="eastAsia" w:ascii="Times New Roman" w:hAnsi="Times New Roman" w:eastAsia="宋体" w:cs="Times New Roman"/>
          <w:color w:val="auto"/>
          <w:kern w:val="0"/>
          <w:sz w:val="21"/>
          <w:szCs w:val="20"/>
          <w:lang w:val="en-US" w:eastAsia="zh-CN" w:bidi="ar-SA"/>
        </w:rPr>
        <w:t>-2003</w:t>
      </w:r>
      <w:r>
        <w:rPr>
          <w:rFonts w:hint="default" w:ascii="Times New Roman" w:hAnsi="Times New Roman" w:eastAsia="宋体" w:cs="Times New Roman"/>
          <w:color w:val="auto"/>
          <w:kern w:val="0"/>
          <w:sz w:val="21"/>
          <w:szCs w:val="20"/>
          <w:lang w:val="en-US" w:eastAsia="zh-CN" w:bidi="ar-SA"/>
        </w:rPr>
        <w:t xml:space="preserve">  </w:t>
      </w:r>
      <w:r>
        <w:rPr>
          <w:rFonts w:hint="eastAsia" w:ascii="Times New Roman" w:hAnsi="Times New Roman" w:eastAsia="宋体" w:cs="Times New Roman"/>
          <w:color w:val="auto"/>
          <w:kern w:val="0"/>
          <w:sz w:val="21"/>
          <w:szCs w:val="20"/>
          <w:lang w:val="en-US" w:eastAsia="zh-CN" w:bidi="ar-SA"/>
        </w:rPr>
        <w:t xml:space="preserve">  </w:t>
      </w:r>
      <w:r>
        <w:rPr>
          <w:rFonts w:hint="default" w:ascii="Times New Roman" w:hAnsi="Times New Roman" w:eastAsia="宋体" w:cs="Times New Roman"/>
          <w:color w:val="auto"/>
          <w:kern w:val="0"/>
          <w:sz w:val="21"/>
          <w:szCs w:val="20"/>
          <w:lang w:val="en-US" w:eastAsia="zh-CN" w:bidi="ar-SA"/>
        </w:rPr>
        <w:t>医疗废物转运车技术要求（试行）</w:t>
      </w:r>
    </w:p>
    <w:p>
      <w:pPr>
        <w:ind w:firstLine="420" w:firstLineChars="200"/>
        <w:rPr>
          <w:rFonts w:hint="eastAsia"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《病死及死因不明动物处置办法》（试行）</w:t>
      </w:r>
      <w:r>
        <w:rPr>
          <w:rFonts w:hint="eastAsia" w:ascii="Times New Roman" w:hAnsi="Times New Roman" w:eastAsia="宋体" w:cs="Times New Roman"/>
          <w:color w:val="auto"/>
          <w:kern w:val="0"/>
          <w:sz w:val="21"/>
          <w:szCs w:val="20"/>
          <w:lang w:val="en-US" w:eastAsia="zh-CN" w:bidi="ar-SA"/>
        </w:rPr>
        <w:t>（农医发〔2005〕25号）</w:t>
      </w:r>
    </w:p>
    <w:p>
      <w:pPr>
        <w:ind w:firstLine="420" w:firstLineChars="200"/>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《病死及病害动物无害化处理技术规范》（</w:t>
      </w:r>
      <w:r>
        <w:rPr>
          <w:rFonts w:hint="eastAsia" w:ascii="Times New Roman" w:hAnsi="Times New Roman" w:eastAsia="宋体" w:cs="Times New Roman"/>
          <w:color w:val="auto"/>
          <w:kern w:val="0"/>
          <w:sz w:val="21"/>
          <w:szCs w:val="20"/>
          <w:lang w:val="en-US" w:eastAsia="zh-CN" w:bidi="ar-SA"/>
        </w:rPr>
        <w:t>农医发〔2017〕25号</w:t>
      </w:r>
      <w:r>
        <w:rPr>
          <w:rFonts w:hint="default" w:ascii="Times New Roman" w:hAnsi="Times New Roman" w:eastAsia="宋体" w:cs="Times New Roman"/>
          <w:color w:val="auto"/>
          <w:kern w:val="0"/>
          <w:sz w:val="21"/>
          <w:szCs w:val="20"/>
          <w:lang w:val="en-US" w:eastAsia="zh-CN" w:bidi="ar-SA"/>
        </w:rPr>
        <w:t>）</w:t>
      </w:r>
    </w:p>
    <w:p>
      <w:pPr>
        <w:ind w:firstLine="420" w:firstLineChars="200"/>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《动物防疫条件审查办法》（农业农村部令</w:t>
      </w:r>
      <w:r>
        <w:rPr>
          <w:rFonts w:hint="eastAsia" w:ascii="Times New Roman" w:hAnsi="Times New Roman" w:eastAsia="宋体" w:cs="Times New Roman"/>
          <w:color w:val="auto"/>
          <w:kern w:val="0"/>
          <w:sz w:val="21"/>
          <w:szCs w:val="20"/>
          <w:lang w:val="en-US" w:eastAsia="zh-CN" w:bidi="ar-SA"/>
        </w:rPr>
        <w:t>2010年第7号</w:t>
      </w:r>
      <w:r>
        <w:rPr>
          <w:rFonts w:hint="default" w:ascii="Times New Roman" w:hAnsi="Times New Roman" w:eastAsia="宋体" w:cs="Times New Roman"/>
          <w:color w:val="auto"/>
          <w:kern w:val="0"/>
          <w:sz w:val="21"/>
          <w:szCs w:val="20"/>
          <w:lang w:val="en-US" w:eastAsia="zh-CN" w:bidi="ar-SA"/>
        </w:rPr>
        <w:t>）</w:t>
      </w:r>
    </w:p>
    <w:p>
      <w:pPr>
        <w:ind w:firstLine="420" w:firstLineChars="200"/>
        <w:rPr>
          <w:rFonts w:hint="eastAsia" w:ascii="宋体"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　</w:t>
      </w:r>
    </w:p>
    <w:p>
      <w:pPr>
        <w:pStyle w:val="18"/>
        <w:spacing w:before="312" w:after="312" w:line="360" w:lineRule="auto"/>
        <w:rPr>
          <w:rFonts w:ascii="宋体" w:eastAsia="宋体"/>
          <w:color w:val="auto"/>
        </w:rPr>
      </w:pPr>
      <w:r>
        <w:rPr>
          <w:rFonts w:hint="eastAsia"/>
          <w:color w:val="auto"/>
        </w:rPr>
        <w:t xml:space="preserve">术语和定义   </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下列术语和定义适用于本标准。</w:t>
      </w:r>
    </w:p>
    <w:p>
      <w:pPr>
        <w:pStyle w:val="15"/>
        <w:spacing w:line="360" w:lineRule="auto"/>
        <w:ind w:firstLine="0" w:firstLineChars="0"/>
        <w:rPr>
          <w:rFonts w:hint="eastAsia" w:ascii="黑体" w:hAnsi="黑体" w:eastAsia="黑体" w:cs="Times New Roman"/>
          <w:color w:val="auto"/>
          <w:lang w:val="en-US" w:eastAsia="zh-CN"/>
        </w:rPr>
      </w:pPr>
      <w:r>
        <w:rPr>
          <w:rFonts w:hint="eastAsia" w:ascii="黑体" w:hAnsi="黑体" w:eastAsia="黑体" w:cs="Times New Roman"/>
          <w:color w:val="auto"/>
          <w:lang w:val="en-US" w:eastAsia="zh-CN"/>
        </w:rPr>
        <w:t>3.1 无害化综合处理</w:t>
      </w:r>
    </w:p>
    <w:p>
      <w:pPr>
        <w:ind w:firstLine="420" w:firstLineChars="20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是指将病死及病害畜禽经收集运输至无害化处理厂，经高温高压等物理方法集中处理动物尸体，杀灭其所携带的病原微生物，同时在养殖、运输、处理等各个环节，规范操作、科学管理，消除生物危害，避免潜在风险。</w:t>
      </w:r>
    </w:p>
    <w:p>
      <w:pPr>
        <w:pStyle w:val="15"/>
        <w:spacing w:line="360" w:lineRule="auto"/>
        <w:ind w:firstLine="0" w:firstLineChars="0"/>
        <w:rPr>
          <w:rFonts w:hint="eastAsia" w:ascii="黑体" w:hAnsi="黑体" w:eastAsia="黑体" w:cs="Times New Roman"/>
          <w:color w:val="auto"/>
          <w:lang w:val="en-US" w:eastAsia="zh-CN"/>
        </w:rPr>
      </w:pPr>
      <w:r>
        <w:rPr>
          <w:rFonts w:hint="eastAsia" w:ascii="黑体" w:hAnsi="黑体" w:eastAsia="黑体" w:cs="Times New Roman"/>
          <w:color w:val="auto"/>
          <w:lang w:val="en-US" w:eastAsia="zh-CN"/>
        </w:rPr>
        <w:t>3.2 生物安全</w:t>
      </w:r>
    </w:p>
    <w:p>
      <w:pPr>
        <w:ind w:firstLine="420" w:firstLineChars="200"/>
        <w:rPr>
          <w:rFonts w:hint="default"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是指在病死及病害畜禽收集、暂存、转运和无害化处理过程中采取有效措施来预防和控制病原微生物对畜禽养殖、生态环境和人体健康的潜在威胁的过程。</w:t>
      </w:r>
    </w:p>
    <w:p>
      <w:pPr>
        <w:pStyle w:val="15"/>
        <w:spacing w:line="360" w:lineRule="auto"/>
        <w:ind w:firstLine="0" w:firstLineChars="0"/>
        <w:rPr>
          <w:rFonts w:hint="eastAsia" w:ascii="黑体" w:hAnsi="黑体" w:eastAsia="黑体" w:cs="Times New Roman"/>
          <w:color w:val="auto"/>
          <w:lang w:val="en-US" w:eastAsia="zh-CN"/>
        </w:rPr>
      </w:pPr>
      <w:r>
        <w:rPr>
          <w:rFonts w:hint="eastAsia" w:ascii="黑体" w:hAnsi="黑体" w:eastAsia="黑体" w:cs="Times New Roman"/>
          <w:color w:val="auto"/>
          <w:lang w:val="en-US" w:eastAsia="zh-CN"/>
        </w:rPr>
        <w:t>3.3 风险评估</w:t>
      </w:r>
    </w:p>
    <w:p>
      <w:pPr>
        <w:ind w:firstLine="420" w:firstLineChars="200"/>
        <w:rPr>
          <w:rFonts w:hint="default" w:ascii="宋体" w:hAnsi="Times New Roman" w:eastAsia="宋体" w:cs="Times New Roman"/>
          <w:kern w:val="0"/>
          <w:sz w:val="21"/>
          <w:szCs w:val="20"/>
          <w:u w:val="none"/>
          <w:lang w:val="en-US" w:eastAsia="zh-CN" w:bidi="ar-SA"/>
        </w:rPr>
      </w:pPr>
      <w:r>
        <w:rPr>
          <w:rFonts w:hint="eastAsia" w:ascii="宋体" w:hAnsi="Times New Roman" w:eastAsia="宋体" w:cs="Times New Roman"/>
          <w:kern w:val="0"/>
          <w:sz w:val="21"/>
          <w:szCs w:val="20"/>
          <w:u w:val="none"/>
          <w:lang w:val="en-US" w:eastAsia="zh-CN" w:bidi="ar-SA"/>
        </w:rPr>
        <w:t>在养殖环节出现病死及病害畜禽后，通过对无害化综合处理中各个环节进行分析和评估，量化生物安全风险的潜在可能。</w:t>
      </w:r>
    </w:p>
    <w:p>
      <w:pPr>
        <w:pStyle w:val="18"/>
        <w:spacing w:before="312" w:after="312" w:line="360" w:lineRule="auto"/>
        <w:rPr>
          <w:rFonts w:hint="eastAsia" w:hAnsi="Times New Roman" w:cs="Times New Roman"/>
          <w:color w:val="auto"/>
          <w:lang w:eastAsia="zh-CN"/>
        </w:rPr>
      </w:pPr>
      <w:r>
        <w:rPr>
          <w:rFonts w:hint="eastAsia" w:hAnsi="Times New Roman" w:cs="Times New Roman"/>
          <w:color w:val="auto"/>
          <w:lang w:val="en-US" w:eastAsia="zh-CN"/>
        </w:rPr>
        <w:t>风险因子</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4.1 收集</w:t>
      </w:r>
    </w:p>
    <w:p>
      <w:pPr>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4.1.1 养殖场明确特定专业人员负责死亡畜禽的及时收集。</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4.1.2现场进行初步诊断分析，按照国家相应动物疫病防治技术规范的规定进行处理。对非动物疫病引起死亡的畜禽，应在当地动物卫生监督机构指导下进行处理。</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4.1.3使用专用容器或包装袋盛装死亡动物，容器尺寸和数量于病死动物的体积和数量应相匹配。</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专用容器、包装袋需防渗漏、耐腐蚀。</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4.1.4重复使用的专用容器应易于清洗消毒。一次性包装材料应作销毁处理。</w:t>
      </w:r>
    </w:p>
    <w:p>
      <w:pPr>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4.1.5养殖场配备专用冷冻容器.</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4.1.6无害化处理监督人员收集现场核查，做好登记记录，签字确认。实行联单制度，妥善保管联单，并建立档案。</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4.1.7整个收集流程的清洗消毒。</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 xml:space="preserve">4.2 暂存 </w:t>
      </w:r>
    </w:p>
    <w:p>
      <w:pPr>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4.2.1暂存点建设选址科学、可行。</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4.2.2配备辖区相适应容量的冷库暂存设施设备</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4.2.3 防水、防渗、防鼠、防盗，易于清洗和消毒</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4.2.4有专人负责，有管理制度，有警示标志</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4.2.5收集的病死畜禽应定时转运，不宜长时间存留。</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4.3 转运</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4.3.1由密封、防渗的厢式货车作为养殖场（户）到暂存点的运输车辆。</w:t>
      </w:r>
    </w:p>
    <w:p>
      <w:pPr>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4.3.2暂存点到无害化处理厂运输车辆</w:t>
      </w:r>
      <w:r>
        <w:rPr>
          <w:rFonts w:hint="eastAsia" w:ascii="宋体" w:hAnsi="Times New Roman" w:eastAsia="宋体" w:cs="Times New Roman"/>
          <w:color w:val="auto"/>
          <w:kern w:val="0"/>
          <w:sz w:val="21"/>
          <w:szCs w:val="20"/>
          <w:lang w:val="en-US" w:eastAsia="zh-CN" w:bidi="ar-SA"/>
        </w:rPr>
        <w:t>符合《医疗废物转运车技术要求》（试行）（GB 19217-2003）要求。</w:t>
      </w:r>
    </w:p>
    <w:p>
      <w:pPr>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4.3.3车辆加施明显标志，并加装车载定位系统，记录转运时间和路径等信息。</w:t>
      </w:r>
    </w:p>
    <w:p>
      <w:pPr>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4.3.4运输过程中不得进行中转存放或堆放，不得倾倒、丢弃和遗洒。</w:t>
      </w:r>
    </w:p>
    <w:p>
      <w:pPr>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4.3.5辖区内和区域间的转运要合理规划行车路线，避开养殖密集区。</w:t>
      </w:r>
    </w:p>
    <w:p>
      <w:pPr>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4.3.6车辆应定期清洗消毒，重点是车轮和病死畜禽接触的部位，并进行相关检测。</w:t>
      </w:r>
    </w:p>
    <w:p>
      <w:pPr>
        <w:pStyle w:val="15"/>
        <w:spacing w:line="360" w:lineRule="auto"/>
        <w:ind w:firstLine="0" w:firstLineChars="0"/>
        <w:rPr>
          <w:rFonts w:hint="eastAsia" w:ascii="黑体" w:hAnsi="黑体" w:eastAsia="黑体" w:cs="Times New Roman"/>
          <w:color w:val="auto"/>
          <w:lang w:val="en-US" w:eastAsia="zh-CN"/>
        </w:rPr>
      </w:pPr>
      <w:r>
        <w:rPr>
          <w:rFonts w:hint="eastAsia" w:ascii="黑体" w:hAnsi="黑体" w:eastAsia="黑体" w:cs="Times New Roman"/>
          <w:color w:val="auto"/>
          <w:lang w:val="en-US" w:eastAsia="zh-CN"/>
        </w:rPr>
        <w:t>4.4 处理</w:t>
      </w:r>
    </w:p>
    <w:p>
      <w:pPr>
        <w:rPr>
          <w:rFonts w:hint="default"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4.4.1无害化处理厂建设应符合农业部《动物防疫条件审查办法》要求，取得《动物防疫条件合格证明》。</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4.4.2无害化处理技术工艺应严格按照农业部《病死及病害动物无害化处理技术规范》</w:t>
      </w:r>
      <w:r>
        <w:rPr>
          <w:rFonts w:hint="default" w:ascii="Times New Roman" w:hAnsi="Times New Roman" w:eastAsia="宋体" w:cs="Times New Roman"/>
          <w:color w:val="auto"/>
          <w:kern w:val="0"/>
          <w:sz w:val="21"/>
          <w:szCs w:val="20"/>
          <w:lang w:val="en-US" w:eastAsia="zh-CN" w:bidi="ar-SA"/>
        </w:rPr>
        <w:t>（</w:t>
      </w:r>
      <w:r>
        <w:rPr>
          <w:rFonts w:hint="eastAsia" w:ascii="Times New Roman" w:hAnsi="Times New Roman" w:eastAsia="宋体" w:cs="Times New Roman"/>
          <w:color w:val="auto"/>
          <w:kern w:val="0"/>
          <w:sz w:val="21"/>
          <w:szCs w:val="20"/>
          <w:lang w:val="en-US" w:eastAsia="zh-CN" w:bidi="ar-SA"/>
        </w:rPr>
        <w:t>农医发〔2017〕25号</w:t>
      </w:r>
      <w:r>
        <w:rPr>
          <w:rFonts w:hint="default" w:ascii="Times New Roman" w:hAnsi="Times New Roman" w:eastAsia="宋体" w:cs="Times New Roman"/>
          <w:color w:val="auto"/>
          <w:kern w:val="0"/>
          <w:sz w:val="21"/>
          <w:szCs w:val="20"/>
          <w:lang w:val="en-US" w:eastAsia="zh-CN" w:bidi="ar-SA"/>
        </w:rPr>
        <w:t>）</w:t>
      </w:r>
      <w:r>
        <w:rPr>
          <w:rFonts w:hint="eastAsia" w:ascii="宋体" w:hAnsi="Times New Roman" w:eastAsia="宋体" w:cs="Times New Roman"/>
          <w:kern w:val="0"/>
          <w:sz w:val="21"/>
          <w:szCs w:val="20"/>
          <w:lang w:val="en-US" w:eastAsia="zh-CN" w:bidi="ar-SA"/>
        </w:rPr>
        <w:t>要求，各参数严格符合规定。</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4.4.3冷凝排放水应冷却后排放，产生的废水应经污水处理系统处理，达到GB8978要求。</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处理车间废气应通过安装自动喷淋消毒系统、排风系统和高效微粒空气过滤器（HEPA过滤器）等进行处理，达到GB14554要求后排放。</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4.4.4高温高压容器操作人员应符合相关专业要求，接受培训，持证上岗。</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4.4.5 无害化处理企业应做好防鼠、防鸟等工作。</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4.4.6定期对厂区（尤其是容器）进行安全生产检查，制定生物安全外泄应急处置预案。</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4.5 其他生物安全防护要求</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4.5.1 人员防护</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4.5.1.1收集、暂存、转运、无害化处理操作的人员应经过专门培训，掌握必要的动物防疫知识和环保知识，身体健康且无外伤。</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4.5.1.2工作人员在操作过程中应穿戴防护服、口罩、护目镜、胶鞋及手套等防护用具。</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4.5.1.3工作人员应使用专用的收集工具、包装用品、转运工具、清洗工具、消毒器材等。</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4.5.1.4无害化处理厂操作人员工作结束洗澡清洁。</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4.5.2 清洗消毒</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死亡畜禽和相关产品所在的车间或地方，转运尸体重复使用的容器、运输的车辆、暂存点、无害化处理企业生产车间均需要进行清洗消毒。</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4.5.3 宣传培训</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针对养殖企业主、无害化处理企业专业人员，开展重大动物疫病防控、生态环境保护、安全生产等方面的知识宣传和培训。</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4.5.4 记录要求</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 xml:space="preserve">4.5.4.1收集、暂存、转运、无害化处理等环节应建有台账和记录。有条件的地方应保存转运车辆行车信息和相关环节视频记录 </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4.5.4.2暂存接收台账和记录应包括病死及病害动物和相关动物产品来源场（户）、种类、数量、动物标识号、死亡原因、消毒方法、收集时间、经办人员等。</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4.5.4.3暂存运出台账和记录应包括运输人员、联系方式、转运时间、车牌号、病死及病害动物和相关动物产品种类、数量、动物标识号、消毒方法、转运目的地以及经办人员等。</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4.5.4.4无害化处理企业接收台账和记录应包括病死及病害动物和相关动物产品来源、种类、数量、动物标识号、转运人员、联系方式、车牌号、接收时间及经手人员等。</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4.5.4.5无害化处理台账和记录应包括处理时间、处理方式、处理数量及操作人员等。</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4.5.4.6涉及病死及病害动物和相关动物产品无害化处理的台账和记录至少要保存两年。</w:t>
      </w:r>
    </w:p>
    <w:p>
      <w:pPr>
        <w:pStyle w:val="18"/>
        <w:spacing w:before="312" w:after="312" w:line="360" w:lineRule="auto"/>
        <w:rPr>
          <w:rFonts w:hint="eastAsia" w:hAnsi="Times New Roman" w:cs="Times New Roman"/>
          <w:color w:val="FF0000"/>
          <w:lang w:val="en-US" w:eastAsia="zh-CN"/>
        </w:rPr>
      </w:pPr>
      <w:r>
        <w:rPr>
          <w:rFonts w:hint="eastAsia" w:hAnsi="Times New Roman" w:cs="Times New Roman"/>
          <w:color w:val="FF0000"/>
          <w:lang w:val="en-US" w:eastAsia="zh-CN"/>
        </w:rPr>
        <w:t>风险因子的权重</w:t>
      </w:r>
    </w:p>
    <w:p>
      <w:pPr>
        <w:rPr>
          <w:rFonts w:hint="eastAsia" w:ascii="宋体" w:hAnsi="Times New Roman" w:eastAsia="宋体" w:cs="Times New Roman"/>
          <w:color w:val="FF0000"/>
          <w:kern w:val="0"/>
          <w:sz w:val="21"/>
          <w:szCs w:val="20"/>
          <w:lang w:val="en-US" w:eastAsia="zh-CN" w:bidi="ar-SA"/>
        </w:rPr>
      </w:pPr>
      <w:r>
        <w:rPr>
          <w:rFonts w:hint="eastAsia" w:ascii="宋体" w:hAnsi="Times New Roman" w:eastAsia="宋体" w:cs="Times New Roman"/>
          <w:color w:val="FF0000"/>
          <w:kern w:val="0"/>
          <w:sz w:val="21"/>
          <w:szCs w:val="20"/>
          <w:lang w:val="en-US" w:eastAsia="zh-CN" w:bidi="ar-SA"/>
        </w:rPr>
        <w:t>5.1根据风险因子对无害化处理影响程度，由高到低一次设定为：限制性关键因子、特别关键因子、关键性因子和一般性因子。</w:t>
      </w:r>
    </w:p>
    <w:p>
      <w:pPr>
        <w:rPr>
          <w:rFonts w:hint="eastAsia" w:ascii="宋体" w:hAnsi="Times New Roman" w:eastAsia="宋体" w:cs="Times New Roman"/>
          <w:color w:val="FF0000"/>
          <w:kern w:val="0"/>
          <w:sz w:val="21"/>
          <w:szCs w:val="20"/>
          <w:lang w:val="en-US" w:eastAsia="zh-CN" w:bidi="ar-SA"/>
        </w:rPr>
      </w:pPr>
      <w:r>
        <w:rPr>
          <w:rFonts w:hint="eastAsia" w:ascii="宋体" w:hAnsi="Times New Roman" w:eastAsia="宋体" w:cs="Times New Roman"/>
          <w:color w:val="FF0000"/>
          <w:kern w:val="0"/>
          <w:sz w:val="21"/>
          <w:szCs w:val="20"/>
          <w:lang w:val="en-US" w:eastAsia="zh-CN" w:bidi="ar-SA"/>
        </w:rPr>
        <w:t>5.2风险因子4.4.1    设定为限制性关键因子</w:t>
      </w:r>
    </w:p>
    <w:p>
      <w:pPr>
        <w:rPr>
          <w:rFonts w:hint="eastAsia" w:ascii="宋体" w:hAnsi="Times New Roman" w:eastAsia="宋体" w:cs="Times New Roman"/>
          <w:color w:val="FF0000"/>
          <w:kern w:val="0"/>
          <w:sz w:val="21"/>
          <w:szCs w:val="20"/>
          <w:lang w:val="en-US" w:eastAsia="zh-CN" w:bidi="ar-SA"/>
        </w:rPr>
      </w:pPr>
      <w:r>
        <w:rPr>
          <w:rFonts w:hint="eastAsia" w:ascii="宋体" w:hAnsi="Times New Roman" w:eastAsia="宋体" w:cs="Times New Roman"/>
          <w:color w:val="FF0000"/>
          <w:kern w:val="0"/>
          <w:sz w:val="21"/>
          <w:szCs w:val="20"/>
          <w:lang w:val="en-US" w:eastAsia="zh-CN" w:bidi="ar-SA"/>
        </w:rPr>
        <w:t>5.3风险因子4.1.3 4.1.4  4.5.2   设定为特别关键因子</w:t>
      </w:r>
    </w:p>
    <w:p>
      <w:pPr>
        <w:rPr>
          <w:rFonts w:hint="eastAsia" w:ascii="宋体" w:hAnsi="Times New Roman" w:eastAsia="宋体" w:cs="Times New Roman"/>
          <w:color w:val="FF0000"/>
          <w:kern w:val="0"/>
          <w:sz w:val="21"/>
          <w:szCs w:val="20"/>
          <w:lang w:val="en-US" w:eastAsia="zh-CN" w:bidi="ar-SA"/>
        </w:rPr>
      </w:pPr>
      <w:r>
        <w:rPr>
          <w:rFonts w:hint="eastAsia" w:ascii="宋体" w:hAnsi="Times New Roman" w:eastAsia="宋体" w:cs="Times New Roman"/>
          <w:color w:val="FF0000"/>
          <w:kern w:val="0"/>
          <w:sz w:val="21"/>
          <w:szCs w:val="20"/>
          <w:lang w:val="en-US" w:eastAsia="zh-CN" w:bidi="ar-SA"/>
        </w:rPr>
        <w:t>5.4风险因子4.1.4  4.1.5  4.2.2  4.2.3  4.3.3  4.5.4设定为关键性因子</w:t>
      </w:r>
    </w:p>
    <w:p>
      <w:pPr>
        <w:rPr>
          <w:rFonts w:hint="default" w:ascii="仿宋_GB2312" w:eastAsia="仿宋_GB2312"/>
          <w:color w:val="FF0000"/>
          <w:sz w:val="32"/>
          <w:szCs w:val="32"/>
          <w:lang w:val="en-US" w:eastAsia="zh-CN"/>
        </w:rPr>
      </w:pPr>
      <w:r>
        <w:rPr>
          <w:rFonts w:hint="eastAsia" w:ascii="宋体" w:hAnsi="Times New Roman" w:eastAsia="宋体" w:cs="Times New Roman"/>
          <w:color w:val="FF0000"/>
          <w:kern w:val="0"/>
          <w:sz w:val="21"/>
          <w:szCs w:val="20"/>
          <w:lang w:val="en-US" w:eastAsia="zh-CN" w:bidi="ar-SA"/>
        </w:rPr>
        <w:t>5.5其他为一般性因子</w:t>
      </w:r>
    </w:p>
    <w:p>
      <w:pPr>
        <w:pStyle w:val="18"/>
        <w:spacing w:before="312" w:after="312" w:line="360" w:lineRule="auto"/>
        <w:rPr>
          <w:rFonts w:hint="eastAsia" w:hAnsi="Times New Roman" w:cs="Times New Roman"/>
          <w:lang w:val="en-US" w:eastAsia="zh-CN"/>
        </w:rPr>
      </w:pPr>
      <w:r>
        <w:rPr>
          <w:rFonts w:hint="eastAsia" w:hAnsi="Times New Roman" w:cs="Times New Roman"/>
          <w:lang w:val="en-US" w:eastAsia="zh-CN"/>
        </w:rPr>
        <w:t>风险级别划分</w:t>
      </w:r>
    </w:p>
    <w:p>
      <w:pPr>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6.1高风险：无害化生物安全风险很大，需要立即采取相应的防范措施。</w:t>
      </w:r>
    </w:p>
    <w:p>
      <w:pPr>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6.2中风险：无害化生物安全风险较大，需要采取相应的防范措施。</w:t>
      </w:r>
    </w:p>
    <w:p>
      <w:pPr>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6.3低风险：无害化生物安全风险较小，说明已经具有较好的防范措施。</w:t>
      </w:r>
    </w:p>
    <w:p>
      <w:pPr>
        <w:pStyle w:val="18"/>
        <w:spacing w:before="312" w:after="312" w:line="360" w:lineRule="auto"/>
        <w:rPr>
          <w:rFonts w:hint="eastAsia" w:hAnsi="Times New Roman" w:cs="Times New Roman"/>
          <w:lang w:val="en-US" w:eastAsia="zh-CN"/>
        </w:rPr>
      </w:pPr>
      <w:r>
        <w:rPr>
          <w:rFonts w:hint="eastAsia" w:hAnsi="Times New Roman" w:cs="Times New Roman"/>
          <w:lang w:val="en-US" w:eastAsia="zh-CN"/>
        </w:rPr>
        <w:t>建立风险评估模块</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7.1风险评估模块</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无害化处理全流程涉及收集、暂存、转运、处理等环节模块见附录</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7.2模块的使用方法</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7.2.1风险因子的结果判定</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用本标准所列的各项“风险因子”按照全流程各环节实际情况，将各项风险因子的对照结果填写在“判定结果”一栏中。</w:t>
      </w:r>
    </w:p>
    <w:p>
      <w:pP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依据模块中的“判定标准”，符合要求的项，在“A”下打“√”，基本符合要求要求的项，在“B”下打“√”，不符合要求的项，在“C”下打“√”。</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7.2.2风险确定</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7.2.2.1高风险</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风险因子判定结果符合以下三种情况之一的，判定为高风险：</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—限制性关键因子不符合要求的；</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—1特别关键因子和2个关键因子同时不符合要求的；</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—关键因子有3个不符合要求的；</w:t>
      </w:r>
    </w:p>
    <w:p>
      <w:pPr>
        <w:ind w:firstLine="420" w:firstLineChars="200"/>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—不符合要求和基本要求的一般性因子共达到8个以上的。</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7.2.2.2中风险</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风险因子判定结果符合以下情况之一的，判定为中风险：</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—特别关键因子和关键因子有2项不符合要求或基本符合要求的；</w:t>
      </w:r>
    </w:p>
    <w:p>
      <w:pPr>
        <w:ind w:firstLine="420" w:firstLineChars="200"/>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—不符合要求和基本符合要求的一般性因子大于等于5个的。</w:t>
      </w:r>
    </w:p>
    <w:p>
      <w:pPr>
        <w:pStyle w:val="15"/>
        <w:spacing w:line="360" w:lineRule="auto"/>
        <w:ind w:firstLine="0" w:firstLineChars="0"/>
        <w:rPr>
          <w:rFonts w:hint="eastAsia" w:ascii="黑体" w:hAnsi="黑体" w:eastAsia="黑体" w:cs="Times New Roman"/>
          <w:lang w:val="en-US" w:eastAsia="zh-CN"/>
        </w:rPr>
      </w:pPr>
      <w:r>
        <w:rPr>
          <w:rFonts w:hint="eastAsia" w:ascii="黑体" w:hAnsi="黑体" w:eastAsia="黑体" w:cs="Times New Roman"/>
          <w:lang w:val="en-US" w:eastAsia="zh-CN"/>
        </w:rPr>
        <w:t>7.2.2.3低风险</w:t>
      </w:r>
    </w:p>
    <w:p>
      <w:pPr>
        <w:ind w:firstLine="420" w:firstLineChars="200"/>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凡是不符合“高风险”和“中风险”判定条件的，决判定为低风险。</w:t>
      </w:r>
    </w:p>
    <w:p>
      <w:pPr>
        <w:ind w:firstLine="420" w:firstLineChars="200"/>
        <w:rPr>
          <w:rFonts w:hint="default"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pStyle w:val="15"/>
        <w:spacing w:line="360" w:lineRule="auto"/>
      </w:pPr>
    </w:p>
    <w:p>
      <w:pPr>
        <w:pStyle w:val="15"/>
        <w:spacing w:line="360" w:lineRule="auto"/>
      </w:pPr>
    </w:p>
    <w:p>
      <w:pPr>
        <w:pStyle w:val="15"/>
        <w:spacing w:line="360" w:lineRule="auto"/>
      </w:pPr>
    </w:p>
    <w:p>
      <w:pPr>
        <w:pStyle w:val="15"/>
        <w:spacing w:line="360" w:lineRule="auto"/>
      </w:pPr>
    </w:p>
    <w:p>
      <w:pPr>
        <w:pStyle w:val="15"/>
        <w:spacing w:line="360" w:lineRule="auto"/>
      </w:pPr>
    </w:p>
    <w:p>
      <w:pPr>
        <w:pStyle w:val="15"/>
        <w:spacing w:line="360" w:lineRule="auto"/>
      </w:pPr>
    </w:p>
    <w:p>
      <w:pPr>
        <w:pStyle w:val="15"/>
        <w:spacing w:line="360" w:lineRule="auto"/>
      </w:pPr>
    </w:p>
    <w:p>
      <w:pPr>
        <w:pStyle w:val="15"/>
        <w:spacing w:line="360" w:lineRule="auto"/>
        <w:ind w:left="0" w:leftChars="0" w:firstLine="0" w:firstLineChars="0"/>
        <w:rPr>
          <w:color w:val="FF0000"/>
        </w:rPr>
      </w:pPr>
    </w:p>
    <w:p>
      <w:pPr>
        <w:numPr>
          <w:ilvl w:val="0"/>
          <w:numId w:val="0"/>
        </w:numPr>
        <w:rPr>
          <w:rFonts w:hint="default" w:ascii="仿宋_GB2312" w:eastAsia="仿宋_GB2312"/>
          <w:sz w:val="32"/>
          <w:szCs w:val="32"/>
          <w:lang w:val="en-US" w:eastAsia="zh-CN"/>
        </w:rPr>
      </w:pPr>
    </w:p>
    <w:p>
      <w:pPr>
        <w:numPr>
          <w:ilvl w:val="0"/>
          <w:numId w:val="0"/>
        </w:numPr>
        <w:jc w:val="center"/>
        <w:rPr>
          <w:rFonts w:hint="eastAsia" w:ascii="宋体" w:hAnsi="宋体" w:eastAsia="宋体" w:cs="宋体"/>
          <w:sz w:val="36"/>
          <w:szCs w:val="36"/>
          <w:lang w:val="en-US" w:eastAsia="zh-CN"/>
        </w:rPr>
      </w:pPr>
      <w:r>
        <w:rPr>
          <w:rFonts w:hint="eastAsia" w:ascii="宋体" w:hAnsi="宋体" w:eastAsia="宋体" w:cs="宋体"/>
          <w:b/>
          <w:bCs/>
          <w:sz w:val="36"/>
          <w:szCs w:val="36"/>
        </w:rPr>
        <w:t>病死及病害</w:t>
      </w:r>
      <w:r>
        <w:rPr>
          <w:rFonts w:hint="eastAsia" w:ascii="宋体" w:hAnsi="宋体" w:eastAsia="宋体" w:cs="宋体"/>
          <w:b/>
          <w:bCs/>
          <w:sz w:val="36"/>
          <w:szCs w:val="36"/>
          <w:lang w:val="en-US" w:eastAsia="zh-CN"/>
        </w:rPr>
        <w:t>畜禽</w:t>
      </w:r>
      <w:r>
        <w:rPr>
          <w:rFonts w:hint="eastAsia" w:ascii="宋体" w:hAnsi="宋体" w:eastAsia="宋体" w:cs="宋体"/>
          <w:b/>
          <w:bCs/>
          <w:sz w:val="36"/>
          <w:szCs w:val="36"/>
        </w:rPr>
        <w:t>无害化综合处理生物安全风险评估</w:t>
      </w:r>
      <w:r>
        <w:rPr>
          <w:rFonts w:hint="eastAsia" w:ascii="宋体" w:hAnsi="宋体" w:eastAsia="宋体" w:cs="宋体"/>
          <w:b/>
          <w:bCs/>
          <w:sz w:val="36"/>
          <w:szCs w:val="36"/>
          <w:lang w:val="en-US" w:eastAsia="zh-CN"/>
        </w:rPr>
        <w:t>模块</w:t>
      </w:r>
    </w:p>
    <w:tbl>
      <w:tblPr>
        <w:tblStyle w:val="10"/>
        <w:tblW w:w="10737"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478"/>
        <w:gridCol w:w="3379"/>
        <w:gridCol w:w="1649"/>
        <w:gridCol w:w="1081"/>
        <w:gridCol w:w="2099"/>
        <w:gridCol w:w="324"/>
        <w:gridCol w:w="339"/>
        <w:gridCol w:w="463"/>
        <w:gridCol w:w="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restart"/>
            <w:noWrap w:val="0"/>
            <w:vAlign w:val="center"/>
          </w:tcPr>
          <w:p>
            <w:pPr>
              <w:numPr>
                <w:ilvl w:val="0"/>
                <w:numId w:val="0"/>
              </w:numPr>
              <w:jc w:val="center"/>
              <w:rPr>
                <w:rFonts w:hint="eastAsia" w:ascii="宋体" w:hAnsi="宋体" w:eastAsia="宋体" w:cs="宋体"/>
                <w:sz w:val="21"/>
                <w:szCs w:val="21"/>
                <w:vertAlign w:val="baseline"/>
                <w:lang w:val="en-US" w:eastAsia="zh-CN"/>
              </w:rPr>
            </w:pPr>
          </w:p>
        </w:tc>
        <w:tc>
          <w:tcPr>
            <w:tcW w:w="478" w:type="dxa"/>
            <w:vMerge w:val="restart"/>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条款</w:t>
            </w:r>
          </w:p>
        </w:tc>
        <w:tc>
          <w:tcPr>
            <w:tcW w:w="3379" w:type="dxa"/>
            <w:vMerge w:val="restart"/>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风险因子</w:t>
            </w:r>
          </w:p>
        </w:tc>
        <w:tc>
          <w:tcPr>
            <w:tcW w:w="4829" w:type="dxa"/>
            <w:gridSpan w:val="3"/>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判定标准</w:t>
            </w:r>
          </w:p>
        </w:tc>
        <w:tc>
          <w:tcPr>
            <w:tcW w:w="1126" w:type="dxa"/>
            <w:gridSpan w:val="3"/>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判定标准</w:t>
            </w:r>
          </w:p>
        </w:tc>
        <w:tc>
          <w:tcPr>
            <w:tcW w:w="401" w:type="dxa"/>
            <w:vMerge w:val="restart"/>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eastAsia" w:ascii="宋体" w:hAnsi="宋体" w:eastAsia="宋体" w:cs="宋体"/>
                <w:sz w:val="21"/>
                <w:szCs w:val="21"/>
                <w:vertAlign w:val="baseline"/>
                <w:lang w:val="en-US" w:eastAsia="zh-CN"/>
              </w:rPr>
            </w:pPr>
          </w:p>
        </w:tc>
        <w:tc>
          <w:tcPr>
            <w:tcW w:w="478" w:type="dxa"/>
            <w:vMerge w:val="continue"/>
            <w:noWrap w:val="0"/>
            <w:vAlign w:val="center"/>
          </w:tcPr>
          <w:p>
            <w:pPr>
              <w:numPr>
                <w:ilvl w:val="0"/>
                <w:numId w:val="0"/>
              </w:numPr>
              <w:jc w:val="center"/>
              <w:rPr>
                <w:rFonts w:hint="eastAsia" w:ascii="宋体" w:hAnsi="宋体" w:eastAsia="宋体" w:cs="宋体"/>
                <w:b/>
                <w:bCs/>
                <w:sz w:val="21"/>
                <w:szCs w:val="21"/>
                <w:vertAlign w:val="baseline"/>
                <w:lang w:val="en-US" w:eastAsia="zh-CN"/>
              </w:rPr>
            </w:pPr>
          </w:p>
        </w:tc>
        <w:tc>
          <w:tcPr>
            <w:tcW w:w="3379" w:type="dxa"/>
            <w:vMerge w:val="continue"/>
            <w:noWrap w:val="0"/>
            <w:vAlign w:val="center"/>
          </w:tcPr>
          <w:p>
            <w:pPr>
              <w:numPr>
                <w:ilvl w:val="0"/>
                <w:numId w:val="0"/>
              </w:numPr>
              <w:jc w:val="center"/>
              <w:rPr>
                <w:rFonts w:hint="eastAsia" w:ascii="宋体" w:hAnsi="宋体" w:eastAsia="宋体" w:cs="宋体"/>
                <w:b/>
                <w:bCs/>
                <w:sz w:val="21"/>
                <w:szCs w:val="21"/>
                <w:vertAlign w:val="baseline"/>
                <w:lang w:val="en-US" w:eastAsia="zh-CN"/>
              </w:rPr>
            </w:pPr>
          </w:p>
        </w:tc>
        <w:tc>
          <w:tcPr>
            <w:tcW w:w="1649" w:type="dxa"/>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符合要求</w:t>
            </w:r>
          </w:p>
        </w:tc>
        <w:tc>
          <w:tcPr>
            <w:tcW w:w="1081" w:type="dxa"/>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基本符合</w:t>
            </w:r>
          </w:p>
        </w:tc>
        <w:tc>
          <w:tcPr>
            <w:tcW w:w="2099" w:type="dxa"/>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不符合</w:t>
            </w:r>
          </w:p>
        </w:tc>
        <w:tc>
          <w:tcPr>
            <w:tcW w:w="324" w:type="dxa"/>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A</w:t>
            </w:r>
          </w:p>
        </w:tc>
        <w:tc>
          <w:tcPr>
            <w:tcW w:w="339" w:type="dxa"/>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B</w:t>
            </w:r>
          </w:p>
        </w:tc>
        <w:tc>
          <w:tcPr>
            <w:tcW w:w="463" w:type="dxa"/>
            <w:noWrap w:val="0"/>
            <w:vAlign w:val="center"/>
          </w:tcPr>
          <w:p>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C</w:t>
            </w:r>
          </w:p>
        </w:tc>
        <w:tc>
          <w:tcPr>
            <w:tcW w:w="401" w:type="dxa"/>
            <w:vMerge w:val="continue"/>
            <w:noWrap w:val="0"/>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restart"/>
            <w:noWrap w:val="0"/>
            <w:vAlign w:val="center"/>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b w:val="0"/>
                <w:bCs w:val="0"/>
                <w:sz w:val="21"/>
                <w:szCs w:val="21"/>
                <w:vertAlign w:val="baseline"/>
                <w:lang w:val="en-US" w:eastAsia="zh-CN"/>
              </w:rPr>
              <w:t>收集</w:t>
            </w:r>
          </w:p>
        </w:tc>
        <w:tc>
          <w:tcPr>
            <w:tcW w:w="478" w:type="dxa"/>
            <w:noWrap w:val="0"/>
            <w:vAlign w:val="center"/>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79" w:type="dxa"/>
            <w:noWrap w:val="0"/>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有专人负责死亡畜禽的及时收集</w:t>
            </w:r>
          </w:p>
        </w:tc>
        <w:tc>
          <w:tcPr>
            <w:tcW w:w="1649" w:type="dxa"/>
            <w:noWrap w:val="0"/>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明确专人负责</w:t>
            </w:r>
          </w:p>
        </w:tc>
        <w:tc>
          <w:tcPr>
            <w:tcW w:w="1081" w:type="dxa"/>
            <w:noWrap w:val="0"/>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2099" w:type="dxa"/>
            <w:noWrap w:val="0"/>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没有明确规定人员</w:t>
            </w:r>
          </w:p>
        </w:tc>
        <w:tc>
          <w:tcPr>
            <w:tcW w:w="324" w:type="dxa"/>
            <w:noWrap w:val="0"/>
            <w:vAlign w:val="center"/>
          </w:tcPr>
          <w:p>
            <w:pPr>
              <w:numPr>
                <w:ilvl w:val="0"/>
                <w:numId w:val="0"/>
              </w:numPr>
              <w:jc w:val="center"/>
              <w:rPr>
                <w:rFonts w:hint="eastAsia" w:ascii="宋体" w:hAnsi="宋体" w:eastAsia="宋体" w:cs="宋体"/>
                <w:sz w:val="21"/>
                <w:szCs w:val="21"/>
                <w:vertAlign w:val="baseline"/>
                <w:lang w:val="en-US" w:eastAsia="zh-CN"/>
              </w:rPr>
            </w:pPr>
          </w:p>
        </w:tc>
        <w:tc>
          <w:tcPr>
            <w:tcW w:w="339" w:type="dxa"/>
            <w:noWrap w:val="0"/>
            <w:vAlign w:val="center"/>
          </w:tcPr>
          <w:p>
            <w:pPr>
              <w:numPr>
                <w:ilvl w:val="0"/>
                <w:numId w:val="0"/>
              </w:numPr>
              <w:jc w:val="center"/>
              <w:rPr>
                <w:rFonts w:hint="eastAsia" w:ascii="宋体" w:hAnsi="宋体" w:eastAsia="宋体" w:cs="宋体"/>
                <w:sz w:val="21"/>
                <w:szCs w:val="21"/>
                <w:vertAlign w:val="baseline"/>
                <w:lang w:val="en-US" w:eastAsia="zh-CN"/>
              </w:rPr>
            </w:pPr>
          </w:p>
        </w:tc>
        <w:tc>
          <w:tcPr>
            <w:tcW w:w="463" w:type="dxa"/>
            <w:noWrap w:val="0"/>
            <w:vAlign w:val="center"/>
          </w:tcPr>
          <w:p>
            <w:pPr>
              <w:numPr>
                <w:ilvl w:val="0"/>
                <w:numId w:val="0"/>
              </w:numPr>
              <w:jc w:val="center"/>
              <w:rPr>
                <w:rFonts w:hint="eastAsia" w:ascii="宋体" w:hAnsi="宋体" w:eastAsia="宋体" w:cs="宋体"/>
                <w:sz w:val="21"/>
                <w:szCs w:val="21"/>
                <w:vertAlign w:val="baseline"/>
                <w:lang w:val="en-US" w:eastAsia="zh-CN"/>
              </w:rPr>
            </w:pPr>
          </w:p>
        </w:tc>
        <w:tc>
          <w:tcPr>
            <w:tcW w:w="401" w:type="dxa"/>
            <w:noWrap w:val="0"/>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对病死动物进行专业诊断、分析</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有诊断，有报告</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有诊断</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未开展</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专用容器或包装袋盛装死亡动物</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符合要求</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有，但条件受限</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直接冷冻，未防护</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lang w:val="en-US" w:eastAsia="zh-CN"/>
              </w:rPr>
              <w:t>包装袋</w:t>
            </w:r>
            <w:r>
              <w:rPr>
                <w:rFonts w:hint="eastAsia" w:ascii="宋体" w:hAnsi="宋体" w:eastAsia="宋体" w:cs="宋体"/>
                <w:sz w:val="21"/>
                <w:szCs w:val="21"/>
                <w:lang w:val="en-US" w:eastAsia="zh-CN"/>
              </w:rPr>
              <w:t>清洗消毒</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一次性应销毁</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消毒，销毁彻底</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未消毒，为销毁</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配备有专用冷存设施</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没有</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监管人员监督，登记记录</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有监管、有记录</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有监管、记录不全</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监管不到位，监管记录缺失，没有签字</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restart"/>
            <w:noWrap w:val="0"/>
            <w:vAlign w:val="center"/>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暂存</w:t>
            </w: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暂存点建设选址科学、可行</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远离居民区，区域封闭</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区域相对封闭</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人员密集区，暴露明显</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配备体量相当的冷存设施</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有冷存设施，库存适当</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有简易冷存设备</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无冷存设备</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有防护措施，易清洗消毒</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有设备、常消毒</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设备有，消毒开展</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设备不健全，消毒制度执行不严</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物体进出管理制度，有警示标志</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制度落实，警示标志明显</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有制度，无标志</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制度落实不到位，无标志</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及时转运处理</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及时处理</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长期积压</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restart"/>
            <w:noWrap w:val="0"/>
            <w:vAlign w:val="center"/>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转运</w:t>
            </w: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收集车辆符合GB19217-2003</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符合</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不符合</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车辆有标识，有轨迹记录</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有标识，有定位</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有定位</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无标识、未安装车载记录仪</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指定路线运输，不转存、不跑漏</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路线合理，密封到位</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密封到位</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近距离接触养殖场，车辆密封不到位</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r>
              <w:rPr>
                <w:rFonts w:hint="eastAsia" w:ascii="宋体" w:hAnsi="宋体" w:cs="宋体"/>
                <w:sz w:val="21"/>
                <w:szCs w:val="21"/>
                <w:vertAlign w:val="baseline"/>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车辆定期消毒</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定期全面消毒，并开展检测</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清洗消毒</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简单清洗</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24" w:type="dxa"/>
            <w:vMerge w:val="restart"/>
            <w:noWrap w:val="0"/>
            <w:vAlign w:val="center"/>
          </w:tcPr>
          <w:p>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处理</w:t>
            </w:r>
          </w:p>
        </w:tc>
        <w:tc>
          <w:tcPr>
            <w:tcW w:w="478" w:type="dxa"/>
            <w:noWrap w:val="0"/>
            <w:vAlign w:val="top"/>
          </w:tcPr>
          <w:p>
            <w:pPr>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p>
          <w:p>
            <w:pPr>
              <w:numPr>
                <w:ilvl w:val="0"/>
                <w:numId w:val="0"/>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379" w:type="dxa"/>
            <w:noWrap w:val="0"/>
            <w:vAlign w:val="top"/>
          </w:tcPr>
          <w:p>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厂区建设应符合动物防疫要求，取得《动物防疫条件合格证明》。</w:t>
            </w:r>
          </w:p>
          <w:p>
            <w:pPr>
              <w:numPr>
                <w:ilvl w:val="0"/>
                <w:numId w:val="0"/>
              </w:numPr>
              <w:jc w:val="center"/>
              <w:rPr>
                <w:rFonts w:hint="default" w:ascii="宋体" w:hAnsi="宋体" w:eastAsia="宋体" w:cs="宋体"/>
                <w:sz w:val="21"/>
                <w:szCs w:val="21"/>
                <w:lang w:val="en-US" w:eastAsia="zh-CN"/>
              </w:rPr>
            </w:pPr>
          </w:p>
        </w:tc>
        <w:tc>
          <w:tcPr>
            <w:tcW w:w="1649" w:type="dxa"/>
            <w:noWrap w:val="0"/>
            <w:vAlign w:val="top"/>
          </w:tcPr>
          <w:p>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取得资质</w:t>
            </w:r>
          </w:p>
        </w:tc>
        <w:tc>
          <w:tcPr>
            <w:tcW w:w="1081" w:type="dxa"/>
            <w:noWrap w:val="0"/>
            <w:vAlign w:val="top"/>
          </w:tcPr>
          <w:p>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099" w:type="dxa"/>
            <w:noWrap w:val="0"/>
            <w:vAlign w:val="top"/>
          </w:tcPr>
          <w:p>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没有资质</w:t>
            </w:r>
          </w:p>
        </w:tc>
        <w:tc>
          <w:tcPr>
            <w:tcW w:w="324" w:type="dxa"/>
            <w:noWrap w:val="0"/>
            <w:vAlign w:val="top"/>
          </w:tcPr>
          <w:p>
            <w:pPr>
              <w:numPr>
                <w:ilvl w:val="0"/>
                <w:numId w:val="0"/>
              </w:numPr>
              <w:jc w:val="center"/>
              <w:rPr>
                <w:rFonts w:hint="default" w:ascii="宋体" w:hAnsi="宋体" w:eastAsia="宋体" w:cs="宋体"/>
                <w:sz w:val="21"/>
                <w:szCs w:val="21"/>
                <w:lang w:val="en-US" w:eastAsia="zh-CN"/>
              </w:rPr>
            </w:pPr>
          </w:p>
        </w:tc>
        <w:tc>
          <w:tcPr>
            <w:tcW w:w="339" w:type="dxa"/>
            <w:noWrap w:val="0"/>
            <w:vAlign w:val="top"/>
          </w:tcPr>
          <w:p>
            <w:pPr>
              <w:numPr>
                <w:ilvl w:val="0"/>
                <w:numId w:val="0"/>
              </w:numPr>
              <w:jc w:val="center"/>
              <w:rPr>
                <w:rFonts w:hint="default" w:ascii="宋体" w:hAnsi="宋体" w:eastAsia="宋体" w:cs="宋体"/>
                <w:sz w:val="21"/>
                <w:szCs w:val="21"/>
                <w:lang w:val="en-US" w:eastAsia="zh-CN"/>
              </w:rPr>
            </w:pPr>
          </w:p>
        </w:tc>
        <w:tc>
          <w:tcPr>
            <w:tcW w:w="463" w:type="dxa"/>
            <w:noWrap w:val="0"/>
            <w:vAlign w:val="top"/>
          </w:tcPr>
          <w:p>
            <w:pPr>
              <w:numPr>
                <w:ilvl w:val="0"/>
                <w:numId w:val="0"/>
              </w:numPr>
              <w:jc w:val="center"/>
              <w:rPr>
                <w:rFonts w:hint="default" w:ascii="宋体" w:hAnsi="宋体" w:eastAsia="宋体" w:cs="宋体"/>
                <w:sz w:val="21"/>
                <w:szCs w:val="21"/>
                <w:lang w:val="en-US" w:eastAsia="zh-CN"/>
              </w:rPr>
            </w:pPr>
          </w:p>
        </w:tc>
        <w:tc>
          <w:tcPr>
            <w:tcW w:w="401" w:type="dxa"/>
            <w:noWrap w:val="0"/>
            <w:vAlign w:val="top"/>
          </w:tcPr>
          <w:p>
            <w:pPr>
              <w:numPr>
                <w:ilvl w:val="0"/>
                <w:numId w:val="0"/>
              </w:numPr>
              <w:jc w:val="cente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7**</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技术工艺符合《病死及病害动物无害化处理技术规范》</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符合规范，参数合规</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技术不合规</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18</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废水和废气排放达标</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排放达标</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基本达标</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不达标</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19</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操作人员接受培训，持证上岗，</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人员持证，技术达标，有预案</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接受培训</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未培训，无证上岗</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0</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厂区防护</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防护到位</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基本到位</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未开展工作</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center"/>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1</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安全生产落实</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人员、措施到位</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基本到位</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未开展</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restart"/>
            <w:noWrap w:val="0"/>
            <w:vAlign w:val="center"/>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其他方面</w:t>
            </w: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2</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无害化处理工作人员个人防护</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有培训、物质保障到位</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有物质保障</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物质保障不足，培训未开展</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3**</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无害化全流程的清洗消毒</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全面消毒，检测</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清洗消毒</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只清洗未消毒</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4</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宣传培训</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人员覆盖到位，知识培训到位</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部分人员培训宣传</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为开展宣传培训</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4" w:type="dxa"/>
            <w:vMerge w:val="continue"/>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5*</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无害化处理全过程的记录</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环节记录详实、准确，可追溯</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有记录，但不完整</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无记录或者记录混乱</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24" w:type="dxa"/>
            <w:vMerge w:val="continue"/>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78"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6</w:t>
            </w:r>
          </w:p>
        </w:tc>
        <w:tc>
          <w:tcPr>
            <w:tcW w:w="337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台账管理，档案保存</w:t>
            </w:r>
          </w:p>
        </w:tc>
        <w:tc>
          <w:tcPr>
            <w:tcW w:w="164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按时间要求保存</w:t>
            </w:r>
          </w:p>
        </w:tc>
        <w:tc>
          <w:tcPr>
            <w:tcW w:w="1081"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保存缺失</w:t>
            </w:r>
          </w:p>
        </w:tc>
        <w:tc>
          <w:tcPr>
            <w:tcW w:w="2099" w:type="dxa"/>
            <w:noWrap w:val="0"/>
            <w:vAlign w:val="top"/>
          </w:tcPr>
          <w:p>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未时间要求保存</w:t>
            </w:r>
          </w:p>
        </w:tc>
        <w:tc>
          <w:tcPr>
            <w:tcW w:w="324"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339"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63"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c>
          <w:tcPr>
            <w:tcW w:w="401" w:type="dxa"/>
            <w:noWrap w:val="0"/>
            <w:vAlign w:val="top"/>
          </w:tcPr>
          <w:p>
            <w:pPr>
              <w:numPr>
                <w:ilvl w:val="0"/>
                <w:numId w:val="0"/>
              </w:numPr>
              <w:jc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0737" w:type="dxa"/>
            <w:gridSpan w:val="10"/>
            <w:noWrap w:val="0"/>
            <w:vAlign w:val="top"/>
          </w:tcPr>
          <w:p>
            <w:pPr>
              <w:numPr>
                <w:ilvl w:val="0"/>
                <w:numId w:val="0"/>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备注：“条款”栏中，“***”为限制性关键因子；</w:t>
            </w:r>
          </w:p>
          <w:p>
            <w:pPr>
              <w:numPr>
                <w:ilvl w:val="0"/>
                <w:numId w:val="0"/>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“**”为特别关键因子；</w:t>
            </w:r>
          </w:p>
          <w:p>
            <w:pPr>
              <w:numPr>
                <w:ilvl w:val="0"/>
                <w:numId w:val="0"/>
              </w:num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“*”为关键因子。</w:t>
            </w:r>
          </w:p>
        </w:tc>
      </w:tr>
    </w:tbl>
    <w:p>
      <w:pPr>
        <w:numPr>
          <w:ilvl w:val="0"/>
          <w:numId w:val="0"/>
        </w:numPr>
        <w:rPr>
          <w:rFonts w:hint="default" w:ascii="仿宋_GB2312" w:eastAsia="仿宋_GB2312"/>
          <w:sz w:val="32"/>
          <w:szCs w:val="32"/>
          <w:lang w:val="en-US" w:eastAsia="zh-CN"/>
        </w:rPr>
      </w:pPr>
    </w:p>
    <w:p>
      <w:pPr>
        <w:rPr>
          <w:rFonts w:hint="eastAsia" w:ascii="仿宋_GB2312" w:eastAsia="仿宋_GB2312"/>
          <w:szCs w:val="21"/>
        </w:rPr>
      </w:pPr>
    </w:p>
    <w:p>
      <w:pPr>
        <w:pStyle w:val="15"/>
        <w:spacing w:line="360" w:lineRule="auto"/>
        <w:ind w:left="0" w:leftChars="0" w:firstLine="0" w:firstLineChars="0"/>
        <w:rPr>
          <w:color w:val="FF0000"/>
        </w:rPr>
      </w:pPr>
    </w:p>
    <w:sectPr>
      <w:pgSz w:w="11906" w:h="16838"/>
      <w:pgMar w:top="1440" w:right="1800" w:bottom="1440" w:left="1800"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044724"/>
      <w:docPartObj>
        <w:docPartGallery w:val="autotext"/>
      </w:docPartObj>
    </w:sdtPr>
    <w:sdtContent>
      <w:p>
        <w:pPr>
          <w:pStyle w:val="6"/>
          <w:jc w:val="right"/>
        </w:pPr>
        <w:r>
          <w:fldChar w:fldCharType="begin"/>
        </w:r>
        <w:r>
          <w:instrText xml:space="preserve">PAGE   \* MERGEFORMAT</w:instrText>
        </w:r>
        <w:r>
          <w:fldChar w:fldCharType="separate"/>
        </w:r>
        <w:r>
          <w:rPr>
            <w:lang w:val="zh-CN"/>
          </w:rPr>
          <w:t>13</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930" w:firstLineChars="3300"/>
    </w:pPr>
    <w:r>
      <w:rPr>
        <w:rFonts w:hint="eastAsia"/>
      </w:rPr>
      <w:t>DB34/ T</w:t>
    </w:r>
    <w:r>
      <w:t>—</w:t>
    </w:r>
    <w:r>
      <w:rPr>
        <w:rFonts w:hint="eastAsia"/>
      </w:rPr>
      <w:t>XXXX</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8"/>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9"/>
      <w:suff w:val="nothing"/>
      <w:lvlText w:val="%1.%2.%3　"/>
      <w:lvlJc w:val="left"/>
      <w:rPr>
        <w:rFonts w:hint="eastAsia" w:ascii="黑体" w:hAnsi="Times New Roman" w:eastAsia="黑体" w:cs="Times New Roman"/>
        <w:b w:val="0"/>
        <w:i w:val="0"/>
        <w:sz w:val="21"/>
      </w:rPr>
    </w:lvl>
    <w:lvl w:ilvl="3" w:tentative="0">
      <w:start w:val="1"/>
      <w:numFmt w:val="decimal"/>
      <w:pStyle w:val="20"/>
      <w:suff w:val="nothing"/>
      <w:lvlText w:val="%1.%2.%3.%4　"/>
      <w:lvlJc w:val="left"/>
      <w:rPr>
        <w:rFonts w:hint="eastAsia" w:ascii="黑体" w:hAnsi="Times New Roman" w:eastAsia="黑体" w:cs="Times New Roman"/>
        <w:b w:val="0"/>
        <w:i w:val="0"/>
        <w:sz w:val="21"/>
      </w:rPr>
    </w:lvl>
    <w:lvl w:ilvl="4" w:tentative="0">
      <w:start w:val="1"/>
      <w:numFmt w:val="decimal"/>
      <w:pStyle w:val="21"/>
      <w:suff w:val="nothing"/>
      <w:lvlText w:val="%1.%2.%3.%4.%5　"/>
      <w:lvlJc w:val="left"/>
      <w:rPr>
        <w:rFonts w:hint="eastAsia" w:ascii="黑体" w:hAnsi="Times New Roman" w:eastAsia="黑体" w:cs="Times New Roman"/>
        <w:b w:val="0"/>
        <w:i w:val="0"/>
        <w:sz w:val="21"/>
      </w:rPr>
    </w:lvl>
    <w:lvl w:ilvl="5" w:tentative="0">
      <w:start w:val="1"/>
      <w:numFmt w:val="decimal"/>
      <w:pStyle w:val="22"/>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E"/>
    <w:rsid w:val="0000003A"/>
    <w:rsid w:val="00000B6D"/>
    <w:rsid w:val="0000315A"/>
    <w:rsid w:val="000135F0"/>
    <w:rsid w:val="00015BAD"/>
    <w:rsid w:val="00016A66"/>
    <w:rsid w:val="0001790E"/>
    <w:rsid w:val="00027405"/>
    <w:rsid w:val="00031989"/>
    <w:rsid w:val="000527A1"/>
    <w:rsid w:val="00087049"/>
    <w:rsid w:val="0009613A"/>
    <w:rsid w:val="000A7677"/>
    <w:rsid w:val="000B7633"/>
    <w:rsid w:val="000C26C8"/>
    <w:rsid w:val="000E4B66"/>
    <w:rsid w:val="00110742"/>
    <w:rsid w:val="00112731"/>
    <w:rsid w:val="00126097"/>
    <w:rsid w:val="00131AEC"/>
    <w:rsid w:val="00142A01"/>
    <w:rsid w:val="001456F2"/>
    <w:rsid w:val="001757E8"/>
    <w:rsid w:val="00181567"/>
    <w:rsid w:val="00191D94"/>
    <w:rsid w:val="001A0B80"/>
    <w:rsid w:val="001A7E3F"/>
    <w:rsid w:val="001B3430"/>
    <w:rsid w:val="001C3C01"/>
    <w:rsid w:val="001E2A6C"/>
    <w:rsid w:val="002010AE"/>
    <w:rsid w:val="0020237C"/>
    <w:rsid w:val="0022148C"/>
    <w:rsid w:val="002256EB"/>
    <w:rsid w:val="0023309F"/>
    <w:rsid w:val="00240006"/>
    <w:rsid w:val="002564DA"/>
    <w:rsid w:val="00257EC6"/>
    <w:rsid w:val="002629B7"/>
    <w:rsid w:val="00264953"/>
    <w:rsid w:val="00276D0E"/>
    <w:rsid w:val="002A3D97"/>
    <w:rsid w:val="002A661F"/>
    <w:rsid w:val="002B1354"/>
    <w:rsid w:val="002D4B54"/>
    <w:rsid w:val="002E79FC"/>
    <w:rsid w:val="0030117A"/>
    <w:rsid w:val="003025BF"/>
    <w:rsid w:val="003219EF"/>
    <w:rsid w:val="00332563"/>
    <w:rsid w:val="00333ED7"/>
    <w:rsid w:val="003378F6"/>
    <w:rsid w:val="00342F44"/>
    <w:rsid w:val="00347FB0"/>
    <w:rsid w:val="003630E8"/>
    <w:rsid w:val="0038102A"/>
    <w:rsid w:val="00384AB7"/>
    <w:rsid w:val="00386769"/>
    <w:rsid w:val="00394FB0"/>
    <w:rsid w:val="003A12A1"/>
    <w:rsid w:val="003A3F88"/>
    <w:rsid w:val="003B3A15"/>
    <w:rsid w:val="003B4F19"/>
    <w:rsid w:val="003C2378"/>
    <w:rsid w:val="003D733A"/>
    <w:rsid w:val="003E1C98"/>
    <w:rsid w:val="003E4896"/>
    <w:rsid w:val="003E6D2E"/>
    <w:rsid w:val="003F2C52"/>
    <w:rsid w:val="003F3E68"/>
    <w:rsid w:val="00407986"/>
    <w:rsid w:val="00410BEA"/>
    <w:rsid w:val="00415C39"/>
    <w:rsid w:val="004173F4"/>
    <w:rsid w:val="00430946"/>
    <w:rsid w:val="00446188"/>
    <w:rsid w:val="004560B2"/>
    <w:rsid w:val="004578BD"/>
    <w:rsid w:val="00462C7B"/>
    <w:rsid w:val="00470E0C"/>
    <w:rsid w:val="00472A11"/>
    <w:rsid w:val="00472A33"/>
    <w:rsid w:val="004803F8"/>
    <w:rsid w:val="004A0C99"/>
    <w:rsid w:val="004B1310"/>
    <w:rsid w:val="004C3924"/>
    <w:rsid w:val="004D0201"/>
    <w:rsid w:val="004D2A58"/>
    <w:rsid w:val="00507190"/>
    <w:rsid w:val="00515429"/>
    <w:rsid w:val="00521274"/>
    <w:rsid w:val="005533A8"/>
    <w:rsid w:val="005649D9"/>
    <w:rsid w:val="00567AA5"/>
    <w:rsid w:val="00573F06"/>
    <w:rsid w:val="00582747"/>
    <w:rsid w:val="005836FB"/>
    <w:rsid w:val="005B1CCD"/>
    <w:rsid w:val="005B4994"/>
    <w:rsid w:val="005B5B5D"/>
    <w:rsid w:val="005E08E8"/>
    <w:rsid w:val="005E0B8D"/>
    <w:rsid w:val="005E1228"/>
    <w:rsid w:val="005E19FB"/>
    <w:rsid w:val="005E49A2"/>
    <w:rsid w:val="005F371D"/>
    <w:rsid w:val="00606364"/>
    <w:rsid w:val="00615102"/>
    <w:rsid w:val="00632358"/>
    <w:rsid w:val="00635AF9"/>
    <w:rsid w:val="0064162B"/>
    <w:rsid w:val="006557DB"/>
    <w:rsid w:val="00655910"/>
    <w:rsid w:val="00660E1D"/>
    <w:rsid w:val="006638BF"/>
    <w:rsid w:val="00673875"/>
    <w:rsid w:val="00683CE9"/>
    <w:rsid w:val="0069152C"/>
    <w:rsid w:val="006933F6"/>
    <w:rsid w:val="006B3604"/>
    <w:rsid w:val="006B6157"/>
    <w:rsid w:val="006C2244"/>
    <w:rsid w:val="006C71FC"/>
    <w:rsid w:val="006D2E61"/>
    <w:rsid w:val="006E225C"/>
    <w:rsid w:val="006F2245"/>
    <w:rsid w:val="006F3E2F"/>
    <w:rsid w:val="006F435E"/>
    <w:rsid w:val="006F6564"/>
    <w:rsid w:val="00700AE6"/>
    <w:rsid w:val="00700F9C"/>
    <w:rsid w:val="00712D91"/>
    <w:rsid w:val="007322CF"/>
    <w:rsid w:val="00750E38"/>
    <w:rsid w:val="007B3D28"/>
    <w:rsid w:val="007C201E"/>
    <w:rsid w:val="007C397B"/>
    <w:rsid w:val="007C4DD2"/>
    <w:rsid w:val="007D1C51"/>
    <w:rsid w:val="007D3D77"/>
    <w:rsid w:val="007D60E3"/>
    <w:rsid w:val="007D6F58"/>
    <w:rsid w:val="007E510E"/>
    <w:rsid w:val="007F32EB"/>
    <w:rsid w:val="00801FC4"/>
    <w:rsid w:val="0080415A"/>
    <w:rsid w:val="00820CEB"/>
    <w:rsid w:val="0082441E"/>
    <w:rsid w:val="00827A39"/>
    <w:rsid w:val="00857CC4"/>
    <w:rsid w:val="0089351D"/>
    <w:rsid w:val="00894A2A"/>
    <w:rsid w:val="008E4F4B"/>
    <w:rsid w:val="008F1404"/>
    <w:rsid w:val="008F224C"/>
    <w:rsid w:val="00900244"/>
    <w:rsid w:val="00905155"/>
    <w:rsid w:val="00911318"/>
    <w:rsid w:val="0092533A"/>
    <w:rsid w:val="00933A45"/>
    <w:rsid w:val="00935FBE"/>
    <w:rsid w:val="009374E8"/>
    <w:rsid w:val="00941471"/>
    <w:rsid w:val="0094308A"/>
    <w:rsid w:val="0094519A"/>
    <w:rsid w:val="009452D6"/>
    <w:rsid w:val="00946D20"/>
    <w:rsid w:val="0095009F"/>
    <w:rsid w:val="00970C25"/>
    <w:rsid w:val="00986766"/>
    <w:rsid w:val="00997D6F"/>
    <w:rsid w:val="009B28E7"/>
    <w:rsid w:val="009B5071"/>
    <w:rsid w:val="009E3C4E"/>
    <w:rsid w:val="009F253A"/>
    <w:rsid w:val="009F4AB6"/>
    <w:rsid w:val="00A228FE"/>
    <w:rsid w:val="00A44239"/>
    <w:rsid w:val="00A53389"/>
    <w:rsid w:val="00A63D17"/>
    <w:rsid w:val="00A658EE"/>
    <w:rsid w:val="00A70520"/>
    <w:rsid w:val="00A72D3D"/>
    <w:rsid w:val="00A76A04"/>
    <w:rsid w:val="00A86C7A"/>
    <w:rsid w:val="00AA4FB3"/>
    <w:rsid w:val="00AB603B"/>
    <w:rsid w:val="00AC179A"/>
    <w:rsid w:val="00AC3BD4"/>
    <w:rsid w:val="00AC56DC"/>
    <w:rsid w:val="00AC7FCE"/>
    <w:rsid w:val="00AE1D90"/>
    <w:rsid w:val="00AF1D58"/>
    <w:rsid w:val="00B014C7"/>
    <w:rsid w:val="00B06CFC"/>
    <w:rsid w:val="00B12830"/>
    <w:rsid w:val="00B47C44"/>
    <w:rsid w:val="00B6067E"/>
    <w:rsid w:val="00B81AD2"/>
    <w:rsid w:val="00B83583"/>
    <w:rsid w:val="00B871B7"/>
    <w:rsid w:val="00B92582"/>
    <w:rsid w:val="00BA28B4"/>
    <w:rsid w:val="00BA3C2F"/>
    <w:rsid w:val="00BB111A"/>
    <w:rsid w:val="00C0741B"/>
    <w:rsid w:val="00C104E5"/>
    <w:rsid w:val="00C108FB"/>
    <w:rsid w:val="00C17626"/>
    <w:rsid w:val="00C24E30"/>
    <w:rsid w:val="00C30A1C"/>
    <w:rsid w:val="00C35787"/>
    <w:rsid w:val="00C40BCF"/>
    <w:rsid w:val="00C567BE"/>
    <w:rsid w:val="00C62D87"/>
    <w:rsid w:val="00C64E54"/>
    <w:rsid w:val="00C66EB1"/>
    <w:rsid w:val="00C84D9A"/>
    <w:rsid w:val="00CB3036"/>
    <w:rsid w:val="00CB45F0"/>
    <w:rsid w:val="00CF27F3"/>
    <w:rsid w:val="00CF339C"/>
    <w:rsid w:val="00CF413F"/>
    <w:rsid w:val="00D043A3"/>
    <w:rsid w:val="00D04E63"/>
    <w:rsid w:val="00D05B43"/>
    <w:rsid w:val="00D16967"/>
    <w:rsid w:val="00D2267F"/>
    <w:rsid w:val="00D25036"/>
    <w:rsid w:val="00D275CB"/>
    <w:rsid w:val="00D3757B"/>
    <w:rsid w:val="00D57326"/>
    <w:rsid w:val="00D61248"/>
    <w:rsid w:val="00D66BC9"/>
    <w:rsid w:val="00D7579C"/>
    <w:rsid w:val="00D84EA2"/>
    <w:rsid w:val="00D955D4"/>
    <w:rsid w:val="00D95669"/>
    <w:rsid w:val="00D97D92"/>
    <w:rsid w:val="00DA46E9"/>
    <w:rsid w:val="00DB1561"/>
    <w:rsid w:val="00DB1D27"/>
    <w:rsid w:val="00DC08ED"/>
    <w:rsid w:val="00DC1D50"/>
    <w:rsid w:val="00DD217C"/>
    <w:rsid w:val="00DD57FD"/>
    <w:rsid w:val="00E0010E"/>
    <w:rsid w:val="00E00D86"/>
    <w:rsid w:val="00E20D8B"/>
    <w:rsid w:val="00E32ECC"/>
    <w:rsid w:val="00E3723B"/>
    <w:rsid w:val="00E46B5F"/>
    <w:rsid w:val="00E46B77"/>
    <w:rsid w:val="00E51421"/>
    <w:rsid w:val="00E60810"/>
    <w:rsid w:val="00E9350D"/>
    <w:rsid w:val="00E974EE"/>
    <w:rsid w:val="00EB272A"/>
    <w:rsid w:val="00EB4D5C"/>
    <w:rsid w:val="00EB59AA"/>
    <w:rsid w:val="00EE16B5"/>
    <w:rsid w:val="00EE3230"/>
    <w:rsid w:val="00EE4490"/>
    <w:rsid w:val="00EF3741"/>
    <w:rsid w:val="00EF4F34"/>
    <w:rsid w:val="00F054AA"/>
    <w:rsid w:val="00F07726"/>
    <w:rsid w:val="00F13386"/>
    <w:rsid w:val="00F13E3E"/>
    <w:rsid w:val="00F413D0"/>
    <w:rsid w:val="00F44247"/>
    <w:rsid w:val="00F50C4A"/>
    <w:rsid w:val="00F60A4A"/>
    <w:rsid w:val="00F66C66"/>
    <w:rsid w:val="00F7563E"/>
    <w:rsid w:val="00F8082A"/>
    <w:rsid w:val="00F81137"/>
    <w:rsid w:val="00F83292"/>
    <w:rsid w:val="00F85F54"/>
    <w:rsid w:val="00F95A1B"/>
    <w:rsid w:val="00FA6A40"/>
    <w:rsid w:val="00FA6BD4"/>
    <w:rsid w:val="00FD05AB"/>
    <w:rsid w:val="0AA742DD"/>
    <w:rsid w:val="0C887F93"/>
    <w:rsid w:val="12E1696B"/>
    <w:rsid w:val="18F953DC"/>
    <w:rsid w:val="289D6696"/>
    <w:rsid w:val="2A6046CC"/>
    <w:rsid w:val="2D672CC3"/>
    <w:rsid w:val="343664A6"/>
    <w:rsid w:val="393E4D4B"/>
    <w:rsid w:val="39F73E3D"/>
    <w:rsid w:val="3CEE05E0"/>
    <w:rsid w:val="543318CA"/>
    <w:rsid w:val="5E540C6B"/>
    <w:rsid w:val="661D4467"/>
    <w:rsid w:val="6D3B1372"/>
    <w:rsid w:val="706E0F06"/>
    <w:rsid w:val="70A36188"/>
    <w:rsid w:val="71C25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40"/>
    <w:semiHidden/>
    <w:unhideWhenUsed/>
    <w:qFormat/>
    <w:uiPriority w:val="99"/>
    <w:pPr>
      <w:ind w:left="100" w:leftChars="2500"/>
    </w:pPr>
  </w:style>
  <w:style w:type="paragraph" w:styleId="5">
    <w:name w:val="Balloon Text"/>
    <w:basedOn w:val="1"/>
    <w:link w:val="43"/>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5">
    <w:name w:val="段"/>
    <w:link w:val="1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6">
    <w:name w:val="段 Char"/>
    <w:basedOn w:val="11"/>
    <w:link w:val="15"/>
    <w:qFormat/>
    <w:locked/>
    <w:uiPriority w:val="0"/>
    <w:rPr>
      <w:rFonts w:ascii="宋体" w:hAnsi="Times New Roman" w:eastAsia="宋体" w:cs="Times New Roman"/>
      <w:kern w:val="0"/>
      <w:szCs w:val="20"/>
    </w:rPr>
  </w:style>
  <w:style w:type="paragraph" w:customStyle="1" w:styleId="17">
    <w:name w:val="一级条标题"/>
    <w:next w:val="15"/>
    <w:link w:val="23"/>
    <w:qFormat/>
    <w:uiPriority w:val="0"/>
    <w:pPr>
      <w:numPr>
        <w:ilvl w:val="1"/>
        <w:numId w:val="1"/>
      </w:numPr>
      <w:spacing w:beforeLines="50" w:afterLines="50"/>
      <w:outlineLvl w:val="2"/>
    </w:pPr>
    <w:rPr>
      <w:rFonts w:ascii="黑体" w:hAnsi="Times New Roman" w:eastAsia="黑体" w:cs="Times New Roman"/>
      <w:kern w:val="0"/>
      <w:sz w:val="22"/>
      <w:szCs w:val="20"/>
      <w:lang w:val="en-US" w:eastAsia="zh-CN" w:bidi="ar-SA"/>
    </w:rPr>
  </w:style>
  <w:style w:type="paragraph" w:customStyle="1" w:styleId="18">
    <w:name w:val="章标题"/>
    <w:next w:val="15"/>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9">
    <w:name w:val="二级条标题"/>
    <w:basedOn w:val="17"/>
    <w:next w:val="15"/>
    <w:qFormat/>
    <w:uiPriority w:val="0"/>
    <w:pPr>
      <w:numPr>
        <w:ilvl w:val="2"/>
      </w:numPr>
      <w:spacing w:before="50" w:after="50"/>
      <w:outlineLvl w:val="3"/>
    </w:pPr>
  </w:style>
  <w:style w:type="paragraph" w:customStyle="1" w:styleId="20">
    <w:name w:val="三级条标题"/>
    <w:basedOn w:val="19"/>
    <w:next w:val="15"/>
    <w:qFormat/>
    <w:uiPriority w:val="0"/>
    <w:pPr>
      <w:numPr>
        <w:ilvl w:val="3"/>
      </w:numPr>
      <w:outlineLvl w:val="4"/>
    </w:pPr>
  </w:style>
  <w:style w:type="paragraph" w:customStyle="1" w:styleId="21">
    <w:name w:val="四级条标题"/>
    <w:basedOn w:val="20"/>
    <w:next w:val="15"/>
    <w:qFormat/>
    <w:uiPriority w:val="0"/>
    <w:pPr>
      <w:numPr>
        <w:ilvl w:val="4"/>
      </w:numPr>
      <w:outlineLvl w:val="5"/>
    </w:pPr>
  </w:style>
  <w:style w:type="paragraph" w:customStyle="1" w:styleId="22">
    <w:name w:val="五级条标题"/>
    <w:basedOn w:val="21"/>
    <w:next w:val="15"/>
    <w:qFormat/>
    <w:uiPriority w:val="0"/>
    <w:pPr>
      <w:numPr>
        <w:ilvl w:val="5"/>
      </w:numPr>
      <w:outlineLvl w:val="6"/>
    </w:pPr>
  </w:style>
  <w:style w:type="character" w:customStyle="1" w:styleId="23">
    <w:name w:val="一级条标题 Char"/>
    <w:link w:val="17"/>
    <w:qFormat/>
    <w:locked/>
    <w:uiPriority w:val="0"/>
    <w:rPr>
      <w:rFonts w:ascii="黑体" w:hAnsi="Times New Roman" w:eastAsia="黑体" w:cs="Times New Roman"/>
      <w:kern w:val="0"/>
      <w:sz w:val="22"/>
      <w:szCs w:val="20"/>
    </w:rPr>
  </w:style>
  <w:style w:type="character" w:customStyle="1" w:styleId="24">
    <w:name w:val="标题 4 Char"/>
    <w:basedOn w:val="11"/>
    <w:link w:val="3"/>
    <w:qFormat/>
    <w:uiPriority w:val="9"/>
    <w:rPr>
      <w:rFonts w:ascii="宋体" w:hAnsi="宋体" w:eastAsia="宋体" w:cs="宋体"/>
      <w:b/>
      <w:bCs/>
      <w:kern w:val="0"/>
      <w:sz w:val="24"/>
      <w:szCs w:val="24"/>
    </w:rPr>
  </w:style>
  <w:style w:type="character" w:customStyle="1" w:styleId="25">
    <w:name w:val="发布"/>
    <w:qFormat/>
    <w:uiPriority w:val="0"/>
    <w:rPr>
      <w:rFonts w:ascii="黑体" w:eastAsia="黑体"/>
      <w:spacing w:val="85"/>
      <w:w w:val="100"/>
      <w:position w:val="3"/>
      <w:sz w:val="28"/>
      <w:szCs w:val="28"/>
    </w:rPr>
  </w:style>
  <w:style w:type="paragraph" w:customStyle="1" w:styleId="2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7">
    <w:name w:val="封面标准文稿编辑信息"/>
    <w:basedOn w:val="28"/>
    <w:qFormat/>
    <w:uiPriority w:val="0"/>
    <w:pPr>
      <w:spacing w:before="180" w:line="180" w:lineRule="exact"/>
    </w:pPr>
    <w:rPr>
      <w:sz w:val="21"/>
    </w:rPr>
  </w:style>
  <w:style w:type="paragraph" w:customStyle="1" w:styleId="28">
    <w:name w:val="封面标准文稿类别"/>
    <w:basedOn w:val="29"/>
    <w:qFormat/>
    <w:uiPriority w:val="0"/>
    <w:pPr>
      <w:spacing w:after="160" w:line="240" w:lineRule="auto"/>
    </w:pPr>
    <w:rPr>
      <w:sz w:val="24"/>
    </w:rPr>
  </w:style>
  <w:style w:type="paragraph" w:customStyle="1" w:styleId="29">
    <w:name w:val="封面一致性程度标识"/>
    <w:basedOn w:val="30"/>
    <w:qFormat/>
    <w:uiPriority w:val="0"/>
    <w:pPr>
      <w:spacing w:before="440"/>
    </w:pPr>
    <w:rPr>
      <w:rFonts w:ascii="宋体" w:eastAsia="宋体"/>
    </w:rPr>
  </w:style>
  <w:style w:type="paragraph" w:customStyle="1" w:styleId="30">
    <w:name w:val="封面标准英文名称"/>
    <w:basedOn w:val="26"/>
    <w:qFormat/>
    <w:uiPriority w:val="0"/>
    <w:pPr>
      <w:spacing w:before="370" w:line="400" w:lineRule="exact"/>
    </w:pPr>
    <w:rPr>
      <w:rFonts w:ascii="Times New Roman"/>
      <w:sz w:val="28"/>
      <w:szCs w:val="28"/>
    </w:rPr>
  </w:style>
  <w:style w:type="paragraph" w:customStyle="1" w:styleId="31">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2">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3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34">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7">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39">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character" w:customStyle="1" w:styleId="40">
    <w:name w:val="日期 Char"/>
    <w:basedOn w:val="11"/>
    <w:link w:val="4"/>
    <w:semiHidden/>
    <w:qFormat/>
    <w:uiPriority w:val="99"/>
  </w:style>
  <w:style w:type="character" w:customStyle="1" w:styleId="41">
    <w:name w:val="标题 1 Char"/>
    <w:basedOn w:val="11"/>
    <w:link w:val="2"/>
    <w:qFormat/>
    <w:uiPriority w:val="9"/>
    <w:rPr>
      <w:b/>
      <w:bCs/>
      <w:kern w:val="44"/>
      <w:sz w:val="44"/>
      <w:szCs w:val="44"/>
    </w:rPr>
  </w:style>
  <w:style w:type="character" w:customStyle="1" w:styleId="42">
    <w:name w:val="doc_title"/>
    <w:basedOn w:val="11"/>
    <w:qFormat/>
    <w:uiPriority w:val="0"/>
  </w:style>
  <w:style w:type="character" w:customStyle="1" w:styleId="43">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F4B3D-9A18-4724-841B-AEA0694980A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3174</Words>
  <Characters>18092</Characters>
  <Lines>150</Lines>
  <Paragraphs>42</Paragraphs>
  <TotalTime>0</TotalTime>
  <ScaleCrop>false</ScaleCrop>
  <LinksUpToDate>false</LinksUpToDate>
  <CharactersWithSpaces>21224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2019-02-12T00:12:00Z</dcterms:created>
  <dc:creator>陈曦</dc:creator>
  <cp:lastModifiedBy>洪功飞</cp:lastModifiedBy>
  <cp:lastPrinted>2020-07-31T02:50:00Z</cp:lastPrinted>
  <dcterms:modified xsi:type="dcterms:W3CDTF">2020-09-29T02:41:52Z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