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framePr/>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     </w:t>
      </w:r>
      <w:r>
        <w:fldChar w:fldCharType="end"/>
      </w:r>
      <w:bookmarkEnd w:id="0"/>
    </w:p>
    <w:p>
      <w:pPr>
        <w:pStyle w:val="119"/>
        <w:framePr/>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30"/>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9571" w:type="dxa"/>
            <w:tcBorders>
              <w:top w:val="nil"/>
              <w:left w:val="nil"/>
              <w:bottom w:val="nil"/>
              <w:right w:val="nil"/>
            </w:tcBorders>
            <w:shd w:val="clear" w:color="auto" w:fill="auto"/>
          </w:tcPr>
          <w:p>
            <w:pPr>
              <w:pStyle w:val="119"/>
              <w:framePr/>
            </w:pPr>
            <w: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4445" t="3810" r="0" b="0"/>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iuL+zVAAAABwEAAA8AAAAAAAAAAQAgAAAAIgAAAGRycy9kb3ducmV2LnhtbFBLAQIUABQA&#10;AAAIAIdO4kB/eoSc8wEAANIDAAAOAAAAAAAAAAEAIAAAACQBAABkcnMvZTJvRG9jLnhtbFBLBQYA&#10;AAAABgAGAFkBAACJ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105"/>
        <w:framePr/>
      </w:pPr>
      <w:r>
        <w:t>D</w:t>
      </w:r>
      <w:r>
        <w:rPr>
          <w:spacing w:val="100"/>
        </w:rPr>
        <w:t>B</w:t>
      </w:r>
      <w:bookmarkStart w:id="3" w:name="c3"/>
      <w:r>
        <w:fldChar w:fldCharType="begin">
          <w:ffData>
            <w:name w:val="c3"/>
            <w:enabled/>
            <w:calcOnExit w:val="0"/>
            <w:entryMacro w:val="ShowHelp16"/>
            <w:textInput/>
          </w:ffData>
        </w:fldChar>
      </w:r>
      <w:r>
        <w:instrText xml:space="preserve"> FORMTEXT </w:instrText>
      </w:r>
      <w:r>
        <w:fldChar w:fldCharType="separate"/>
      </w:r>
      <w:r>
        <w:rPr>
          <w:rFonts w:hint="eastAsia"/>
        </w:rPr>
        <w:t>45</w:t>
      </w:r>
      <w:r>
        <w:fldChar w:fldCharType="end"/>
      </w:r>
      <w:bookmarkEnd w:id="3"/>
    </w:p>
    <w:p>
      <w:pPr>
        <w:pStyle w:val="106"/>
        <w:framePr/>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广西壮族自治区</w:t>
      </w:r>
      <w:r>
        <w:fldChar w:fldCharType="end"/>
      </w:r>
      <w:bookmarkEnd w:id="4"/>
      <w:r>
        <w:t>地方标准</w:t>
      </w:r>
    </w:p>
    <w:p>
      <w:pPr>
        <w:pStyle w:val="43"/>
        <w:framePr/>
        <w:rPr>
          <w:rFonts w:hAnsi="黑体"/>
        </w:rPr>
      </w:pPr>
      <w:r>
        <w:rPr>
          <w:rFonts w:ascii="Times New Roman"/>
        </w:rPr>
        <w:t xml:space="preserve">DB </w:t>
      </w:r>
      <w:bookmarkStart w:id="5" w:name="StdNo0"/>
      <w:r>
        <w:rPr>
          <w:rFonts w:hAnsi="黑体"/>
        </w:rPr>
        <w:fldChar w:fldCharType="begin">
          <w:ffData>
            <w:name w:val="StdNo0"/>
            <w:enabled/>
            <w:calcOnExit w:val="0"/>
            <w:textInput>
              <w:default w:val="××/T"/>
            </w:textInput>
          </w:ffData>
        </w:fldChar>
      </w:r>
      <w:r>
        <w:rPr>
          <w:rFonts w:hAnsi="黑体"/>
        </w:rPr>
        <w:instrText xml:space="preserve"> FORMTEXT </w:instrText>
      </w:r>
      <w:r>
        <w:rPr>
          <w:rFonts w:hAnsi="黑体"/>
        </w:rPr>
        <w:fldChar w:fldCharType="separate"/>
      </w:r>
      <w:r>
        <w:rPr>
          <w:rFonts w:hint="eastAsia" w:hAnsi="黑体"/>
        </w:rPr>
        <w:t>45</w:t>
      </w:r>
      <w:r>
        <w:rPr>
          <w:rFonts w:ascii="Times New Roman"/>
        </w:rPr>
        <w:t>/T</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
            </w:textInput>
          </w:ffData>
        </w:fldChar>
      </w:r>
      <w:r>
        <w:rPr>
          <w:rFonts w:hAnsi="黑体"/>
        </w:rPr>
        <w:instrText xml:space="preserve"> FORMTEXT </w:instrText>
      </w:r>
      <w:r>
        <w:rPr>
          <w:rFonts w:hAnsi="黑体"/>
        </w:rPr>
        <w:fldChar w:fldCharType="separate"/>
      </w:r>
      <w:r>
        <w:rPr>
          <w:rFonts w:hAnsi="黑体"/>
        </w:rPr>
        <w:t>××××</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
              <w:maxLength w:val="4"/>
            </w:textInput>
          </w:ffData>
        </w:fldChar>
      </w:r>
      <w:r>
        <w:rPr>
          <w:rFonts w:hAnsi="黑体"/>
        </w:rPr>
        <w:instrText xml:space="preserve"> FORMTEXT </w:instrText>
      </w:r>
      <w:r>
        <w:rPr>
          <w:rFonts w:hAnsi="黑体"/>
        </w:rPr>
        <w:fldChar w:fldCharType="separate"/>
      </w:r>
      <w:r>
        <w:rPr>
          <w:rFonts w:hAnsi="黑体"/>
        </w:rPr>
        <w:t>××××</w:t>
      </w:r>
      <w:r>
        <w:rPr>
          <w:rFonts w:hAnsi="黑体"/>
        </w:rPr>
        <w:fldChar w:fldCharType="end"/>
      </w:r>
      <w:bookmarkEnd w:id="7"/>
    </w:p>
    <w:tbl>
      <w:tblPr>
        <w:tblStyle w:val="3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72"/>
              <w:framePr/>
            </w:pPr>
            <w:bookmarkStart w:id="8" w:name="DT"/>
            <w: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g8svWAAAACAEAAA8AAAAAAAAAAQAgAAAAIgAAAGRycy9kb3ducmV2LnhtbFBLAQIUABQAAAAI&#10;AIdO4kBeRvvK7wEAANIDAAAOAAAAAAAAAAEAIAAAACUBAABkcnMvZTJvRG9jLnhtbFBLBQYAAAAA&#10;BgAGAFkBAACGBQ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pPr>
        <w:pStyle w:val="43"/>
        <w:framePr/>
        <w:rPr>
          <w:rFonts w:hAnsi="黑体"/>
        </w:rPr>
      </w:pPr>
    </w:p>
    <w:p>
      <w:pPr>
        <w:pStyle w:val="43"/>
        <w:framePr/>
        <w:rPr>
          <w:rFonts w:hAnsi="黑体"/>
        </w:rPr>
      </w:pPr>
    </w:p>
    <w:p>
      <w:pPr>
        <w:pStyle w:val="74"/>
        <w:framePr/>
      </w:pPr>
      <w:r>
        <w:fldChar w:fldCharType="begin">
          <w:ffData>
            <w:name w:val="StdName"/>
            <w:enabled/>
            <w:calcOnExit w:val="0"/>
            <w:textInput/>
          </w:ffData>
        </w:fldChar>
      </w:r>
      <w:bookmarkStart w:id="9" w:name="StdName"/>
      <w:r>
        <w:instrText xml:space="preserve"> FORMTEXT </w:instrText>
      </w:r>
      <w:r>
        <w:fldChar w:fldCharType="separate"/>
      </w:r>
      <w:r>
        <w:rPr>
          <w:rFonts w:hint="eastAsia"/>
        </w:rPr>
        <w:t>幼儿园安全与应急管理规范</w:t>
      </w:r>
      <w:r>
        <w:fldChar w:fldCharType="end"/>
      </w:r>
      <w:bookmarkEnd w:id="9"/>
    </w:p>
    <w:p>
      <w:pPr>
        <w:pStyle w:val="75"/>
        <w:framePr/>
      </w:pPr>
      <w:bookmarkStart w:id="10"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点击此处添加标准英文译名</w:t>
      </w:r>
      <w:r>
        <w:fldChar w:fldCharType="end"/>
      </w:r>
      <w:bookmarkEnd w:id="10"/>
    </w:p>
    <w:p>
      <w:pPr>
        <w:pStyle w:val="76"/>
        <w:framePr/>
      </w:pPr>
      <w:bookmarkStart w:id="11"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Style w:val="30"/>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7"/>
              <w:framePr/>
            </w:pPr>
            <w: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F&#10;ia6S1QAAAAoBAAAPAAAAAAAAAAEAIAAAACIAAABkcnMvZG93bnJldi54bWxQSwECFAAUAAAACACH&#10;TuJA21768+4BAADSAwAADgAAAAAAAAABACAAAAAkAQAAZHJzL2Uyb0RvYy54bWxQSwUGAAAAAAYA&#10;BgBZAQAAhAUAAAAA&#10;">
                      <v:fill on="t" focussize="0,0"/>
                      <v:stroke on="f"/>
                      <v:imagedata o:title=""/>
                      <o:lock v:ext="edit" aspectratio="f"/>
                      <w10:anchorlock/>
                    </v:rect>
                  </w:pict>
                </mc:Fallback>
              </mc:AlternateContent>
            </w:r>
            <w: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GL5dYAAAAJAQAADwAAAAAAAAABACAAAAAiAAAAZHJzL2Rvd25yZXYueG1sUEsBAhQAFAAAAAgA&#10;h07iQKtCIkHuAQAA0gMAAA4AAAAAAAAAAQAgAAAAJQEAAGRycy9lMm9Eb2MueG1sUEsFBgAAAAAG&#10;AAYAWQEAAIUFA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8"/>
              <w:framePr/>
            </w:pPr>
            <w:bookmarkStart w:id="13" w:name="WCRQ"/>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p>
      <w:pPr>
        <w:pStyle w:val="126"/>
        <w:framePr/>
      </w:pPr>
      <w:bookmarkStart w:id="14" w:name="FY"/>
      <w:r>
        <w:rPr>
          <w:rFonts w:ascii="黑体"/>
        </w:rPr>
        <w:fldChar w:fldCharType="begin">
          <w:ffData>
            <w:name w:val="FY"/>
            <w:enabled/>
            <w:calcOnExit w:val="0"/>
            <w:entryMacro w:val="ShowHelp8"/>
            <w:textInput>
              <w:default w:val="××××"/>
              <w:maxLength w:val="4"/>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5"/>
      <w:r>
        <w:rPr>
          <w:rFonts w:hint="eastAsia"/>
        </w:rPr>
        <w:t>发布</w:t>
      </w:r>
      <w:r>
        <mc:AlternateContent>
          <mc:Choice Requires="wps">
            <w:drawing>
              <wp:anchor distT="0" distB="0" distL="114300" distR="114300" simplePos="0" relativeHeight="251658240" behindDoc="0" locked="1" layoutInCell="1" allowOverlap="1">
                <wp:simplePos x="0" y="0"/>
                <wp:positionH relativeFrom="column">
                  <wp:posOffset>-635</wp:posOffset>
                </wp:positionH>
                <wp:positionV relativeFrom="page">
                  <wp:posOffset>9251950</wp:posOffset>
                </wp:positionV>
                <wp:extent cx="6120130" cy="0"/>
                <wp:effectExtent l="8890" t="12700" r="5080" b="6350"/>
                <wp:wrapNone/>
                <wp:docPr id="2" name="Line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0.05pt;margin-top:728.5pt;height:0pt;width:481.9pt;mso-position-vertical-relative:page;z-index:25165824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WHazzWAAAA&#10;CwEAAA8AAAAAAAAAAQAgAAAAIgAAAGRycy9kb3ducmV2LnhtbFBLAQIUABQAAAAIAIdO4kCXoN1r&#10;rQEAAFEDAAAOAAAAAAAAAAEAIAAAACUBAABkcnMvZTJvRG9jLnhtbFBLBQYAAAAABgAGAFkBAABE&#10;BQAAAAA=&#10;">
                <v:fill on="f" focussize="0,0"/>
                <v:stroke color="#000000" joinstyle="round"/>
                <v:imagedata o:title=""/>
                <o:lock v:ext="edit" aspectratio="f"/>
                <w10:anchorlock/>
              </v:line>
            </w:pict>
          </mc:Fallback>
        </mc:AlternateContent>
      </w:r>
    </w:p>
    <w:p>
      <w:pPr>
        <w:pStyle w:val="127"/>
        <w:framePr/>
      </w:pPr>
      <w:bookmarkStart w:id="16" w:name="SY"/>
      <w:r>
        <w:rPr>
          <w:rFonts w:ascii="黑体"/>
        </w:rPr>
        <w:fldChar w:fldCharType="begin">
          <w:ffData>
            <w:name w:val="SY"/>
            <w:enabled/>
            <w:calcOnExit w:val="0"/>
            <w:entryMacro w:val="ShowHelp9"/>
            <w:textInput>
              <w:default w:val="××××"/>
              <w:maxLength w:val="4"/>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8"/>
      <w:r>
        <w:rPr>
          <w:rFonts w:hint="eastAsia"/>
        </w:rPr>
        <w:t>实施</w:t>
      </w:r>
    </w:p>
    <w:p>
      <w:pPr>
        <w:pStyle w:val="107"/>
        <w:framePr/>
      </w:pPr>
      <w:bookmarkStart w:id="19" w:name="fm"/>
      <w:r>
        <w:fldChar w:fldCharType="begin">
          <w:ffData>
            <w:name w:val="fm"/>
            <w:enabled/>
            <w:calcOnExit w:val="0"/>
            <w:textInput/>
          </w:ffData>
        </w:fldChar>
      </w:r>
      <w:r>
        <w:instrText xml:space="preserve"> FORMTEXT </w:instrText>
      </w:r>
      <w:r>
        <w:fldChar w:fldCharType="separate"/>
      </w:r>
      <w:r>
        <w:rPr>
          <w:rFonts w:hint="eastAsia"/>
          <w:lang w:eastAsia="zh-CN"/>
        </w:rPr>
        <w:t>广西壮族自治区市场监督管理局</w:t>
      </w:r>
      <w:r>
        <w:fldChar w:fldCharType="end"/>
      </w:r>
      <w:bookmarkEnd w:id="19"/>
      <w:r>
        <w:t xml:space="preserve"> </w:t>
      </w:r>
      <w:r>
        <w:rPr>
          <w:rStyle w:val="69"/>
        </w:rPr>
        <w:t xml:space="preserve"> </w:t>
      </w:r>
      <w:r>
        <w:rPr>
          <w:rStyle w:val="69"/>
          <w:rFonts w:hint="eastAsia"/>
        </w:rPr>
        <w:t>发布</w:t>
      </w:r>
    </w:p>
    <w:p>
      <w:pPr>
        <w:pStyle w:val="21"/>
        <w:sectPr>
          <w:headerReference r:id="rId3" w:type="even"/>
          <w:footerReference r:id="rId4" w:type="even"/>
          <w:pgSz w:w="11906" w:h="16838"/>
          <w:pgMar w:top="567" w:right="1134" w:bottom="1134" w:left="1417" w:header="0" w:footer="0" w:gutter="0"/>
          <w:pgNumType w:start="1"/>
          <w:cols w:space="425" w:num="1"/>
          <w:docGrid w:type="lines" w:linePitch="312" w:charSpace="0"/>
        </w:sect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8890" t="6350" r="5080" b="12700"/>
                <wp:wrapNone/>
                <wp:docPr id="1" name="Line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05pt;margin-top:184.25pt;height:0pt;width:481.9pt;z-index:25165926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JB4l/XAAAA&#10;CQEAAA8AAAAAAAAAAQAgAAAAIgAAAGRycy9kb3ducmV2LnhtbFBLAQIUABQAAAAIAIdO4kD4+ODp&#10;rAEAAFEDAAAOAAAAAAAAAAEAIAAAACYBAABkcnMvZTJvRG9jLnhtbFBLBQYAAAAABgAGAFkBAABE&#10;BQAAAAA=&#10;">
                <v:fill on="f" focussize="0,0"/>
                <v:stroke color="#000000" joinstyle="round"/>
                <v:imagedata o:title=""/>
                <o:lock v:ext="edit" aspectratio="f"/>
              </v:line>
            </w:pict>
          </mc:Fallback>
        </mc:AlternateContent>
      </w:r>
    </w:p>
    <w:p>
      <w:pPr>
        <w:pStyle w:val="46"/>
      </w:pPr>
      <w:bookmarkStart w:id="20" w:name="_Toc50195209"/>
      <w:bookmarkStart w:id="21" w:name="_Toc50063558"/>
      <w:bookmarkStart w:id="22" w:name="_Toc20485815"/>
      <w:bookmarkStart w:id="23" w:name="_Toc47203354"/>
      <w:bookmarkStart w:id="24" w:name="_Toc20485742"/>
      <w:bookmarkStart w:id="25" w:name="_Toc50241647"/>
      <w:r>
        <w:rPr>
          <w:rFonts w:hint="eastAsia"/>
        </w:rPr>
        <w:t>目</w:t>
      </w:r>
      <w:bookmarkStart w:id="26" w:name="BKML"/>
      <w:r>
        <w:rPr>
          <w:rFonts w:hAnsi="黑体"/>
        </w:rPr>
        <w:t>  </w:t>
      </w:r>
      <w:r>
        <w:rPr>
          <w:rFonts w:hint="eastAsia"/>
        </w:rPr>
        <w:t>次</w:t>
      </w:r>
      <w:bookmarkEnd w:id="26"/>
    </w:p>
    <w:p>
      <w:pPr>
        <w:pStyle w:val="17"/>
        <w:spacing w:before="78" w:after="78"/>
        <w:rPr>
          <w:rFonts w:asciiTheme="minorHAnsi" w:hAnsiTheme="minorHAnsi" w:eastAsiaTheme="minorEastAsia" w:cstheme="minorBidi"/>
          <w:szCs w:val="22"/>
        </w:rPr>
      </w:pPr>
      <w:r>
        <w:fldChar w:fldCharType="begin" w:fldLock="1"/>
      </w:r>
      <w:r>
        <w:instrText xml:space="preserve"> </w:instrText>
      </w:r>
      <w:r>
        <w:rPr>
          <w:rFonts w:hint="eastAsia"/>
        </w:rPr>
        <w:instrText xml:space="preserve">TOC \h \z \t"前言、引言标题,1,参考文献、索引标题,1,章标题,1,参考文献,1,附录标识,1,一级条标题, 3" \* MERGEFORMAT</w:instrText>
      </w:r>
      <w:r>
        <w:instrText xml:space="preserve"> </w:instrText>
      </w:r>
      <w:r>
        <w:fldChar w:fldCharType="separate"/>
      </w:r>
      <w:r>
        <w:fldChar w:fldCharType="begin"/>
      </w:r>
      <w:r>
        <w:instrText xml:space="preserve"> HYPERLINK \l "_Toc50281828" </w:instrText>
      </w:r>
      <w:r>
        <w:fldChar w:fldCharType="separate"/>
      </w:r>
      <w:r>
        <w:rPr>
          <w:rStyle w:val="35"/>
          <w:rFonts w:hint="eastAsia"/>
        </w:rPr>
        <w:t>前言</w:t>
      </w:r>
      <w:r>
        <w:tab/>
      </w:r>
      <w:r>
        <w:fldChar w:fldCharType="begin" w:fldLock="1"/>
      </w:r>
      <w:r>
        <w:instrText xml:space="preserve"> PAGEREF _Toc50281828 \h </w:instrText>
      </w:r>
      <w:r>
        <w:fldChar w:fldCharType="separate"/>
      </w:r>
      <w:r>
        <w:t>III</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"_Toc50281829" </w:instrText>
      </w:r>
      <w:r>
        <w:fldChar w:fldCharType="separate"/>
      </w:r>
      <w:r>
        <w:rPr>
          <w:rStyle w:val="35"/>
        </w:rPr>
        <w:t>1</w:t>
      </w:r>
      <w:r>
        <w:rPr>
          <w:rStyle w:val="35"/>
          <w:rFonts w:hint="eastAsia"/>
        </w:rPr>
        <w:t xml:space="preserve"> 范围</w:t>
      </w:r>
      <w:r>
        <w:tab/>
      </w:r>
      <w:r>
        <w:fldChar w:fldCharType="begin" w:fldLock="1"/>
      </w:r>
      <w:r>
        <w:instrText xml:space="preserve"> PAGEREF _Toc50281829 \h </w:instrText>
      </w:r>
      <w:r>
        <w:fldChar w:fldCharType="separate"/>
      </w:r>
      <w:r>
        <w:t>1</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"_Toc50281830" </w:instrText>
      </w:r>
      <w:r>
        <w:fldChar w:fldCharType="separate"/>
      </w:r>
      <w:r>
        <w:rPr>
          <w:rStyle w:val="35"/>
        </w:rPr>
        <w:t>2</w:t>
      </w:r>
      <w:r>
        <w:rPr>
          <w:rStyle w:val="35"/>
          <w:rFonts w:hint="eastAsia"/>
        </w:rPr>
        <w:t xml:space="preserve"> 规范性引用文件</w:t>
      </w:r>
      <w:r>
        <w:tab/>
      </w:r>
      <w:r>
        <w:fldChar w:fldCharType="begin" w:fldLock="1"/>
      </w:r>
      <w:r>
        <w:instrText xml:space="preserve"> PAGEREF _Toc50281830 \h </w:instrText>
      </w:r>
      <w:r>
        <w:fldChar w:fldCharType="separate"/>
      </w:r>
      <w:r>
        <w:t>1</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"_Toc50281831" </w:instrText>
      </w:r>
      <w:r>
        <w:fldChar w:fldCharType="separate"/>
      </w:r>
      <w:r>
        <w:rPr>
          <w:rStyle w:val="35"/>
        </w:rPr>
        <w:t>3</w:t>
      </w:r>
      <w:r>
        <w:rPr>
          <w:rStyle w:val="35"/>
          <w:rFonts w:hint="eastAsia"/>
        </w:rPr>
        <w:t xml:space="preserve"> 术语和定义</w:t>
      </w:r>
      <w:r>
        <w:tab/>
      </w:r>
      <w:r>
        <w:fldChar w:fldCharType="begin" w:fldLock="1"/>
      </w:r>
      <w:r>
        <w:instrText xml:space="preserve"> PAGEREF _Toc50281831 \h </w:instrText>
      </w:r>
      <w:r>
        <w:fldChar w:fldCharType="separate"/>
      </w:r>
      <w:r>
        <w:t>1</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"_Toc50281844" </w:instrText>
      </w:r>
      <w:r>
        <w:fldChar w:fldCharType="separate"/>
      </w:r>
      <w:r>
        <w:rPr>
          <w:rStyle w:val="35"/>
        </w:rPr>
        <w:t>4</w:t>
      </w:r>
      <w:r>
        <w:rPr>
          <w:rStyle w:val="35"/>
          <w:rFonts w:hint="eastAsia"/>
        </w:rPr>
        <w:t xml:space="preserve"> 总体要求</w:t>
      </w:r>
      <w:r>
        <w:tab/>
      </w:r>
      <w:r>
        <w:fldChar w:fldCharType="begin" w:fldLock="1"/>
      </w:r>
      <w:r>
        <w:instrText xml:space="preserve"> PAGEREF _Toc50281844 \h </w:instrText>
      </w:r>
      <w:r>
        <w:fldChar w:fldCharType="separate"/>
      </w:r>
      <w:r>
        <w:t>2</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"_Toc50281845" </w:instrText>
      </w:r>
      <w:r>
        <w:fldChar w:fldCharType="separate"/>
      </w:r>
      <w:r>
        <w:rPr>
          <w:rStyle w:val="35"/>
        </w:rPr>
        <w:t>4.1</w:t>
      </w:r>
      <w:r>
        <w:rPr>
          <w:rStyle w:val="35"/>
          <w:rFonts w:hint="eastAsia"/>
        </w:rPr>
        <w:t xml:space="preserve"> 安全管理体系</w:t>
      </w:r>
      <w:r>
        <w:tab/>
      </w:r>
      <w:r>
        <w:fldChar w:fldCharType="begin" w:fldLock="1"/>
      </w:r>
      <w:r>
        <w:instrText xml:space="preserve"> PAGEREF _Toc50281845 \h </w:instrText>
      </w:r>
      <w:r>
        <w:fldChar w:fldCharType="separate"/>
      </w:r>
      <w:r>
        <w:t>2</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"_Toc50281846" </w:instrText>
      </w:r>
      <w:r>
        <w:fldChar w:fldCharType="separate"/>
      </w:r>
      <w:r>
        <w:rPr>
          <w:rStyle w:val="35"/>
        </w:rPr>
        <w:t>4.2</w:t>
      </w:r>
      <w:r>
        <w:rPr>
          <w:rStyle w:val="35"/>
          <w:rFonts w:hint="eastAsia"/>
        </w:rPr>
        <w:t xml:space="preserve"> 安全管理方针和目标</w:t>
      </w:r>
      <w:r>
        <w:tab/>
      </w:r>
      <w:r>
        <w:fldChar w:fldCharType="begin" w:fldLock="1"/>
      </w:r>
      <w:r>
        <w:instrText xml:space="preserve"> PAGEREF _Toc50281846 \h </w:instrText>
      </w:r>
      <w:r>
        <w:fldChar w:fldCharType="separate"/>
      </w:r>
      <w:r>
        <w:t>2</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"_Toc50281847" </w:instrText>
      </w:r>
      <w:r>
        <w:fldChar w:fldCharType="separate"/>
      </w:r>
      <w:r>
        <w:rPr>
          <w:rStyle w:val="35"/>
        </w:rPr>
        <w:t>4.3</w:t>
      </w:r>
      <w:r>
        <w:rPr>
          <w:rStyle w:val="35"/>
          <w:rFonts w:hint="eastAsia"/>
        </w:rPr>
        <w:t xml:space="preserve"> 安全管理体系文件要求</w:t>
      </w:r>
      <w:r>
        <w:tab/>
      </w:r>
      <w:r>
        <w:fldChar w:fldCharType="begin" w:fldLock="1"/>
      </w:r>
      <w:r>
        <w:instrText xml:space="preserve"> PAGEREF _Toc50281847 \h </w:instrText>
      </w:r>
      <w:r>
        <w:fldChar w:fldCharType="separate"/>
      </w:r>
      <w:r>
        <w:t>2</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"_Toc50281848" </w:instrText>
      </w:r>
      <w:r>
        <w:fldChar w:fldCharType="separate"/>
      </w:r>
      <w:r>
        <w:rPr>
          <w:rStyle w:val="35"/>
        </w:rPr>
        <w:t>5</w:t>
      </w:r>
      <w:r>
        <w:rPr>
          <w:rStyle w:val="35"/>
          <w:rFonts w:hint="eastAsia"/>
        </w:rPr>
        <w:t xml:space="preserve"> 管理职责</w:t>
      </w:r>
      <w:r>
        <w:tab/>
      </w:r>
      <w:r>
        <w:fldChar w:fldCharType="begin" w:fldLock="1"/>
      </w:r>
      <w:r>
        <w:instrText xml:space="preserve"> PAGEREF _Toc50281848 \h </w:instrText>
      </w:r>
      <w:r>
        <w:fldChar w:fldCharType="separate"/>
      </w:r>
      <w:r>
        <w:t>3</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"_Toc50281849" </w:instrText>
      </w:r>
      <w:r>
        <w:fldChar w:fldCharType="separate"/>
      </w:r>
      <w:r>
        <w:rPr>
          <w:rStyle w:val="35"/>
        </w:rPr>
        <w:t>5.1</w:t>
      </w:r>
      <w:r>
        <w:rPr>
          <w:rStyle w:val="35"/>
          <w:rFonts w:hint="eastAsia"/>
        </w:rPr>
        <w:t xml:space="preserve"> 安全与应急管理机制</w:t>
      </w:r>
      <w:r>
        <w:tab/>
      </w:r>
      <w:r>
        <w:fldChar w:fldCharType="begin" w:fldLock="1"/>
      </w:r>
      <w:r>
        <w:instrText xml:space="preserve"> PAGEREF _Toc50281849 \h </w:instrText>
      </w:r>
      <w:r>
        <w:fldChar w:fldCharType="separate"/>
      </w:r>
      <w:r>
        <w:t>3</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"_Toc50281850" </w:instrText>
      </w:r>
      <w:r>
        <w:fldChar w:fldCharType="separate"/>
      </w:r>
      <w:r>
        <w:rPr>
          <w:rStyle w:val="35"/>
        </w:rPr>
        <w:t>5.2</w:t>
      </w:r>
      <w:r>
        <w:rPr>
          <w:rStyle w:val="35"/>
          <w:rFonts w:hint="eastAsia"/>
        </w:rPr>
        <w:t xml:space="preserve"> 安全防范管理要求</w:t>
      </w:r>
      <w:r>
        <w:tab/>
      </w:r>
      <w:r>
        <w:fldChar w:fldCharType="begin" w:fldLock="1"/>
      </w:r>
      <w:r>
        <w:instrText xml:space="preserve"> PAGEREF _Toc50281850 \h </w:instrText>
      </w:r>
      <w:r>
        <w:fldChar w:fldCharType="separate"/>
      </w:r>
      <w:r>
        <w:t>3</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"_Toc50281851" </w:instrText>
      </w:r>
      <w:r>
        <w:fldChar w:fldCharType="separate"/>
      </w:r>
      <w:r>
        <w:rPr>
          <w:rStyle w:val="35"/>
        </w:rPr>
        <w:t>5.3</w:t>
      </w:r>
      <w:r>
        <w:rPr>
          <w:rStyle w:val="35"/>
          <w:rFonts w:hint="eastAsia"/>
        </w:rPr>
        <w:t xml:space="preserve"> 幼儿园安全防范管理工作程序</w:t>
      </w:r>
      <w:r>
        <w:tab/>
      </w:r>
      <w:r>
        <w:fldChar w:fldCharType="begin" w:fldLock="1"/>
      </w:r>
      <w:r>
        <w:instrText xml:space="preserve"> PAGEREF _Toc50281851 \h </w:instrText>
      </w:r>
      <w:r>
        <w:fldChar w:fldCharType="separate"/>
      </w:r>
      <w:r>
        <w:t>5</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"_Toc50281852" </w:instrText>
      </w:r>
      <w:r>
        <w:fldChar w:fldCharType="separate"/>
      </w:r>
      <w:r>
        <w:rPr>
          <w:rStyle w:val="35"/>
        </w:rPr>
        <w:t>6</w:t>
      </w:r>
      <w:r>
        <w:rPr>
          <w:rStyle w:val="35"/>
          <w:rFonts w:hint="eastAsia"/>
        </w:rPr>
        <w:t xml:space="preserve"> 环境安全要求</w:t>
      </w:r>
      <w:r>
        <w:tab/>
      </w:r>
      <w:r>
        <w:fldChar w:fldCharType="begin" w:fldLock="1"/>
      </w:r>
      <w:r>
        <w:instrText xml:space="preserve"> PAGEREF _Toc50281852 \h </w:instrText>
      </w:r>
      <w:r>
        <w:fldChar w:fldCharType="separate"/>
      </w:r>
      <w:r>
        <w:t>6</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"_Toc50281853" </w:instrText>
      </w:r>
      <w:r>
        <w:fldChar w:fldCharType="separate"/>
      </w:r>
      <w:r>
        <w:rPr>
          <w:rStyle w:val="35"/>
        </w:rPr>
        <w:t>6.1</w:t>
      </w:r>
      <w:r>
        <w:rPr>
          <w:rStyle w:val="35"/>
          <w:rFonts w:hint="eastAsia"/>
        </w:rPr>
        <w:t xml:space="preserve"> 新建园区的选址</w:t>
      </w:r>
      <w:r>
        <w:tab/>
      </w:r>
      <w:r>
        <w:fldChar w:fldCharType="begin" w:fldLock="1"/>
      </w:r>
      <w:r>
        <w:instrText xml:space="preserve"> PAGEREF _Toc50281853 \h </w:instrText>
      </w:r>
      <w:r>
        <w:fldChar w:fldCharType="separate"/>
      </w:r>
      <w:r>
        <w:t>6</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"_Toc50281854" </w:instrText>
      </w:r>
      <w:r>
        <w:fldChar w:fldCharType="separate"/>
      </w:r>
      <w:r>
        <w:rPr>
          <w:rStyle w:val="35"/>
        </w:rPr>
        <w:t>6.2</w:t>
      </w:r>
      <w:r>
        <w:rPr>
          <w:rStyle w:val="35"/>
          <w:rFonts w:hint="eastAsia"/>
        </w:rPr>
        <w:t xml:space="preserve"> 幼儿园区周边治安防范管理要求</w:t>
      </w:r>
      <w:r>
        <w:tab/>
      </w:r>
      <w:r>
        <w:fldChar w:fldCharType="begin" w:fldLock="1"/>
      </w:r>
      <w:r>
        <w:instrText xml:space="preserve"> PAGEREF _Toc50281854 \h </w:instrText>
      </w:r>
      <w:r>
        <w:fldChar w:fldCharType="separate"/>
      </w:r>
      <w:r>
        <w:t>6</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"_Toc50281855" </w:instrText>
      </w:r>
      <w:r>
        <w:fldChar w:fldCharType="separate"/>
      </w:r>
      <w:r>
        <w:rPr>
          <w:rStyle w:val="35"/>
        </w:rPr>
        <w:t>6.3</w:t>
      </w:r>
      <w:r>
        <w:rPr>
          <w:rStyle w:val="35"/>
          <w:rFonts w:hint="eastAsia"/>
        </w:rPr>
        <w:t xml:space="preserve"> 消防安全防范要求</w:t>
      </w:r>
      <w:r>
        <w:tab/>
      </w:r>
      <w:r>
        <w:fldChar w:fldCharType="begin" w:fldLock="1"/>
      </w:r>
      <w:r>
        <w:instrText xml:space="preserve"> PAGEREF _Toc50281855 \h </w:instrText>
      </w:r>
      <w:r>
        <w:fldChar w:fldCharType="separate"/>
      </w:r>
      <w:r>
        <w:t>6</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"_Toc50281856" </w:instrText>
      </w:r>
      <w:r>
        <w:fldChar w:fldCharType="separate"/>
      </w:r>
      <w:r>
        <w:rPr>
          <w:rStyle w:val="35"/>
        </w:rPr>
        <w:t>6.4</w:t>
      </w:r>
      <w:r>
        <w:rPr>
          <w:rStyle w:val="35"/>
          <w:rFonts w:hint="eastAsia"/>
        </w:rPr>
        <w:t xml:space="preserve"> 交通安全防范要求</w:t>
      </w:r>
      <w:r>
        <w:tab/>
      </w:r>
      <w:r>
        <w:fldChar w:fldCharType="begin" w:fldLock="1"/>
      </w:r>
      <w:r>
        <w:instrText xml:space="preserve"> PAGEREF _Toc50281856 \h </w:instrText>
      </w:r>
      <w:r>
        <w:fldChar w:fldCharType="separate"/>
      </w:r>
      <w:r>
        <w:t>7</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"_Toc50281857" </w:instrText>
      </w:r>
      <w:r>
        <w:fldChar w:fldCharType="separate"/>
      </w:r>
      <w:r>
        <w:rPr>
          <w:rStyle w:val="35"/>
        </w:rPr>
        <w:t>7</w:t>
      </w:r>
      <w:r>
        <w:rPr>
          <w:rStyle w:val="35"/>
          <w:rFonts w:hint="eastAsia"/>
        </w:rPr>
        <w:t xml:space="preserve"> 日常安全要求</w:t>
      </w:r>
      <w:r>
        <w:tab/>
      </w:r>
      <w:r>
        <w:fldChar w:fldCharType="begin" w:fldLock="1"/>
      </w:r>
      <w:r>
        <w:instrText xml:space="preserve"> PAGEREF _Toc50281857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"_Toc50281858" </w:instrText>
      </w:r>
      <w:r>
        <w:fldChar w:fldCharType="separate"/>
      </w:r>
      <w:r>
        <w:rPr>
          <w:rStyle w:val="35"/>
        </w:rPr>
        <w:t>7.1</w:t>
      </w:r>
      <w:r>
        <w:rPr>
          <w:rStyle w:val="35"/>
          <w:rFonts w:hint="eastAsia"/>
        </w:rPr>
        <w:t xml:space="preserve"> 安全保障</w:t>
      </w:r>
      <w:r>
        <w:tab/>
      </w:r>
      <w:r>
        <w:fldChar w:fldCharType="begin" w:fldLock="1"/>
      </w:r>
      <w:r>
        <w:instrText xml:space="preserve"> PAGEREF _Toc50281858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"_Toc50281859" </w:instrText>
      </w:r>
      <w:r>
        <w:fldChar w:fldCharType="separate"/>
      </w:r>
      <w:r>
        <w:rPr>
          <w:rStyle w:val="35"/>
        </w:rPr>
        <w:t>7.2</w:t>
      </w:r>
      <w:r>
        <w:rPr>
          <w:rStyle w:val="35"/>
          <w:rFonts w:hint="eastAsia"/>
        </w:rPr>
        <w:t xml:space="preserve"> 卫生保健</w:t>
      </w:r>
      <w:r>
        <w:tab/>
      </w:r>
      <w:r>
        <w:fldChar w:fldCharType="begin" w:fldLock="1"/>
      </w:r>
      <w:r>
        <w:instrText xml:space="preserve"> PAGEREF _Toc50281859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"_Toc50281860" </w:instrText>
      </w:r>
      <w:r>
        <w:fldChar w:fldCharType="separate"/>
      </w:r>
      <w:r>
        <w:rPr>
          <w:rStyle w:val="35"/>
        </w:rPr>
        <w:t>7.3</w:t>
      </w:r>
      <w:r>
        <w:rPr>
          <w:rStyle w:val="35"/>
          <w:rFonts w:hint="eastAsia"/>
        </w:rPr>
        <w:t xml:space="preserve"> 集体活动</w:t>
      </w:r>
      <w:r>
        <w:tab/>
      </w:r>
      <w:r>
        <w:fldChar w:fldCharType="begin" w:fldLock="1"/>
      </w:r>
      <w:r>
        <w:instrText xml:space="preserve"> PAGEREF _Toc50281860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"_Toc50281861" </w:instrText>
      </w:r>
      <w:r>
        <w:fldChar w:fldCharType="separate"/>
      </w:r>
      <w:r>
        <w:rPr>
          <w:rStyle w:val="35"/>
        </w:rPr>
        <w:t>7.4</w:t>
      </w:r>
      <w:r>
        <w:rPr>
          <w:rStyle w:val="35"/>
          <w:rFonts w:hint="eastAsia"/>
        </w:rPr>
        <w:t xml:space="preserve"> 接送交接</w:t>
      </w:r>
      <w:r>
        <w:tab/>
      </w:r>
      <w:r>
        <w:fldChar w:fldCharType="begin" w:fldLock="1"/>
      </w:r>
      <w:r>
        <w:instrText xml:space="preserve"> PAGEREF _Toc50281861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"_Toc50281862" </w:instrText>
      </w:r>
      <w:r>
        <w:fldChar w:fldCharType="separate"/>
      </w:r>
      <w:r>
        <w:rPr>
          <w:rStyle w:val="35"/>
        </w:rPr>
        <w:t>7.5</w:t>
      </w:r>
      <w:r>
        <w:rPr>
          <w:rStyle w:val="35"/>
          <w:rFonts w:hint="eastAsia"/>
        </w:rPr>
        <w:t>　值班、巡查</w:t>
      </w:r>
      <w:r>
        <w:tab/>
      </w:r>
      <w:r>
        <w:fldChar w:fldCharType="begin" w:fldLock="1"/>
      </w:r>
      <w:r>
        <w:instrText xml:space="preserve"> PAGEREF _Toc50281862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"_Toc50281863" </w:instrText>
      </w:r>
      <w:r>
        <w:fldChar w:fldCharType="separate"/>
      </w:r>
      <w:r>
        <w:rPr>
          <w:rStyle w:val="35"/>
        </w:rPr>
        <w:t>7.6</w:t>
      </w:r>
      <w:r>
        <w:rPr>
          <w:rStyle w:val="35"/>
          <w:rFonts w:hint="eastAsia"/>
        </w:rPr>
        <w:t>　楼道安全</w:t>
      </w:r>
      <w:r>
        <w:tab/>
      </w:r>
      <w:r>
        <w:fldChar w:fldCharType="begin" w:fldLock="1"/>
      </w:r>
      <w:r>
        <w:instrText xml:space="preserve"> PAGEREF _Toc50281863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"_Toc50281864" </w:instrText>
      </w:r>
      <w:r>
        <w:fldChar w:fldCharType="separate"/>
      </w:r>
      <w:r>
        <w:rPr>
          <w:rStyle w:val="35"/>
        </w:rPr>
        <w:t>7.7</w:t>
      </w:r>
      <w:r>
        <w:rPr>
          <w:rStyle w:val="35"/>
          <w:rFonts w:hint="eastAsia"/>
        </w:rPr>
        <w:t>　电器安全</w:t>
      </w:r>
      <w:r>
        <w:tab/>
      </w:r>
      <w:r>
        <w:fldChar w:fldCharType="begin" w:fldLock="1"/>
      </w:r>
      <w:r>
        <w:instrText xml:space="preserve"> PAGEREF _Toc50281864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"_Toc50281865" </w:instrText>
      </w:r>
      <w:r>
        <w:fldChar w:fldCharType="separate"/>
      </w:r>
      <w:r>
        <w:rPr>
          <w:rStyle w:val="35"/>
        </w:rPr>
        <w:t>7.8</w:t>
      </w:r>
      <w:r>
        <w:rPr>
          <w:rStyle w:val="35"/>
          <w:rFonts w:hint="eastAsia"/>
        </w:rPr>
        <w:t>　食品安全防范</w:t>
      </w:r>
      <w:r>
        <w:tab/>
      </w:r>
      <w:r>
        <w:fldChar w:fldCharType="begin" w:fldLock="1"/>
      </w:r>
      <w:r>
        <w:instrText xml:space="preserve"> PAGEREF _Toc50281865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"_Toc50281866" </w:instrText>
      </w:r>
      <w:r>
        <w:fldChar w:fldCharType="separate"/>
      </w:r>
      <w:r>
        <w:rPr>
          <w:rStyle w:val="35"/>
        </w:rPr>
        <w:t>7.9</w:t>
      </w:r>
      <w:r>
        <w:rPr>
          <w:rStyle w:val="35"/>
          <w:rFonts w:hint="eastAsia"/>
        </w:rPr>
        <w:t>　禁止事项</w:t>
      </w:r>
      <w:r>
        <w:tab/>
      </w:r>
      <w:r>
        <w:fldChar w:fldCharType="begin" w:fldLock="1"/>
      </w:r>
      <w:r>
        <w:instrText xml:space="preserve"> PAGEREF _Toc50281866 \h </w:instrText>
      </w:r>
      <w:r>
        <w:fldChar w:fldCharType="separate"/>
      </w:r>
      <w:r>
        <w:t>9</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"_Toc50281867" </w:instrText>
      </w:r>
      <w:r>
        <w:fldChar w:fldCharType="separate"/>
      </w:r>
      <w:r>
        <w:rPr>
          <w:rStyle w:val="35"/>
        </w:rPr>
        <w:t>7.10</w:t>
      </w:r>
      <w:r>
        <w:rPr>
          <w:rStyle w:val="35"/>
          <w:rFonts w:hint="eastAsia"/>
        </w:rPr>
        <w:t>　特例安排</w:t>
      </w:r>
      <w:r>
        <w:tab/>
      </w:r>
      <w:r>
        <w:fldChar w:fldCharType="begin" w:fldLock="1"/>
      </w:r>
      <w:r>
        <w:instrText xml:space="preserve"> PAGEREF _Toc50281867 \h </w:instrText>
      </w:r>
      <w:r>
        <w:fldChar w:fldCharType="separate"/>
      </w:r>
      <w:r>
        <w:t>9</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"_Toc50281868" </w:instrText>
      </w:r>
      <w:r>
        <w:fldChar w:fldCharType="separate"/>
      </w:r>
      <w:r>
        <w:rPr>
          <w:rStyle w:val="35"/>
        </w:rPr>
        <w:t>7.11</w:t>
      </w:r>
      <w:r>
        <w:rPr>
          <w:rStyle w:val="35"/>
          <w:rFonts w:hint="eastAsia"/>
        </w:rPr>
        <w:t>　家园共育</w:t>
      </w:r>
      <w:r>
        <w:tab/>
      </w:r>
      <w:r>
        <w:fldChar w:fldCharType="begin" w:fldLock="1"/>
      </w:r>
      <w:r>
        <w:instrText xml:space="preserve"> PAGEREF _Toc50281868 \h </w:instrText>
      </w:r>
      <w:r>
        <w:fldChar w:fldCharType="separate"/>
      </w:r>
      <w:r>
        <w:t>9</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"_Toc50281869" </w:instrText>
      </w:r>
      <w:r>
        <w:fldChar w:fldCharType="separate"/>
      </w:r>
      <w:r>
        <w:rPr>
          <w:rStyle w:val="35"/>
        </w:rPr>
        <w:t>8</w:t>
      </w:r>
      <w:r>
        <w:rPr>
          <w:rStyle w:val="35"/>
          <w:rFonts w:hint="eastAsia"/>
        </w:rPr>
        <w:t>　突发事件应急处置</w:t>
      </w:r>
      <w:r>
        <w:tab/>
      </w:r>
      <w:r>
        <w:fldChar w:fldCharType="begin" w:fldLock="1"/>
      </w:r>
      <w:r>
        <w:instrText xml:space="preserve"> PAGEREF _Toc50281869 \h </w:instrText>
      </w:r>
      <w:r>
        <w:fldChar w:fldCharType="separate"/>
      </w:r>
      <w:r>
        <w:t>9</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"_Toc50281870" </w:instrText>
      </w:r>
      <w:r>
        <w:fldChar w:fldCharType="separate"/>
      </w:r>
      <w:r>
        <w:rPr>
          <w:rStyle w:val="35"/>
        </w:rPr>
        <w:t>8.1</w:t>
      </w:r>
      <w:r>
        <w:rPr>
          <w:rStyle w:val="35"/>
          <w:rFonts w:hint="eastAsia"/>
        </w:rPr>
        <w:t>　管理机制</w:t>
      </w:r>
      <w:r>
        <w:tab/>
      </w:r>
      <w:r>
        <w:fldChar w:fldCharType="begin" w:fldLock="1"/>
      </w:r>
      <w:r>
        <w:instrText xml:space="preserve"> PAGEREF _Toc50281870 \h </w:instrText>
      </w:r>
      <w:r>
        <w:fldChar w:fldCharType="separate"/>
      </w:r>
      <w:r>
        <w:t>9</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"_Toc50281871" </w:instrText>
      </w:r>
      <w:r>
        <w:fldChar w:fldCharType="separate"/>
      </w:r>
      <w:r>
        <w:rPr>
          <w:rStyle w:val="35"/>
        </w:rPr>
        <w:t>8.2</w:t>
      </w:r>
      <w:r>
        <w:rPr>
          <w:rStyle w:val="35"/>
          <w:rFonts w:hint="eastAsia"/>
        </w:rPr>
        <w:t>　应急组织机构</w:t>
      </w:r>
      <w:r>
        <w:tab/>
      </w:r>
      <w:r>
        <w:fldChar w:fldCharType="begin" w:fldLock="1"/>
      </w:r>
      <w:r>
        <w:instrText xml:space="preserve"> PAGEREF _Toc50281871 \h </w:instrText>
      </w:r>
      <w:r>
        <w:fldChar w:fldCharType="separate"/>
      </w:r>
      <w:r>
        <w:t>10</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"_Toc50281872" </w:instrText>
      </w:r>
      <w:r>
        <w:fldChar w:fldCharType="separate"/>
      </w:r>
      <w:r>
        <w:rPr>
          <w:rStyle w:val="35"/>
        </w:rPr>
        <w:t>8.3</w:t>
      </w:r>
      <w:r>
        <w:rPr>
          <w:rStyle w:val="35"/>
          <w:rFonts w:hint="eastAsia"/>
        </w:rPr>
        <w:t>　应急预案</w:t>
      </w:r>
      <w:r>
        <w:tab/>
      </w:r>
      <w:r>
        <w:fldChar w:fldCharType="begin" w:fldLock="1"/>
      </w:r>
      <w:r>
        <w:instrText xml:space="preserve"> PAGEREF _Toc50281872 \h </w:instrText>
      </w:r>
      <w:r>
        <w:fldChar w:fldCharType="separate"/>
      </w:r>
      <w:r>
        <w:t>10</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"_Toc50281873" </w:instrText>
      </w:r>
      <w:r>
        <w:fldChar w:fldCharType="separate"/>
      </w:r>
      <w:r>
        <w:rPr>
          <w:rStyle w:val="35"/>
        </w:rPr>
        <w:t>8.4</w:t>
      </w:r>
      <w:r>
        <w:rPr>
          <w:rStyle w:val="35"/>
          <w:rFonts w:hint="eastAsia"/>
        </w:rPr>
        <w:t>　报告和沟通</w:t>
      </w:r>
      <w:r>
        <w:tab/>
      </w:r>
      <w:r>
        <w:fldChar w:fldCharType="begin" w:fldLock="1"/>
      </w:r>
      <w:r>
        <w:instrText xml:space="preserve"> PAGEREF _Toc50281873 \h </w:instrText>
      </w:r>
      <w:r>
        <w:fldChar w:fldCharType="separate"/>
      </w:r>
      <w:r>
        <w:t>10</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"_Toc50281874" </w:instrText>
      </w:r>
      <w:r>
        <w:fldChar w:fldCharType="separate"/>
      </w:r>
      <w:r>
        <w:rPr>
          <w:rStyle w:val="35"/>
        </w:rPr>
        <w:t>8.5</w:t>
      </w:r>
      <w:r>
        <w:rPr>
          <w:rStyle w:val="35"/>
          <w:rFonts w:hint="eastAsia"/>
        </w:rPr>
        <w:t>　物资储备</w:t>
      </w:r>
      <w:r>
        <w:tab/>
      </w:r>
      <w:r>
        <w:fldChar w:fldCharType="begin" w:fldLock="1"/>
      </w:r>
      <w:r>
        <w:instrText xml:space="preserve"> PAGEREF _Toc50281874 \h </w:instrText>
      </w:r>
      <w:r>
        <w:fldChar w:fldCharType="separate"/>
      </w:r>
      <w:r>
        <w:t>10</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"_Toc50281875" </w:instrText>
      </w:r>
      <w:r>
        <w:fldChar w:fldCharType="separate"/>
      </w:r>
      <w:r>
        <w:rPr>
          <w:rStyle w:val="35"/>
        </w:rPr>
        <w:t>8.6</w:t>
      </w:r>
      <w:r>
        <w:rPr>
          <w:rStyle w:val="35"/>
          <w:rFonts w:hint="eastAsia"/>
        </w:rPr>
        <w:t>　公示</w:t>
      </w:r>
      <w:r>
        <w:tab/>
      </w:r>
      <w:r>
        <w:fldChar w:fldCharType="begin" w:fldLock="1"/>
      </w:r>
      <w:r>
        <w:instrText xml:space="preserve"> PAGEREF _Toc50281875 \h </w:instrText>
      </w:r>
      <w:r>
        <w:fldChar w:fldCharType="separate"/>
      </w:r>
      <w:r>
        <w:t>10</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"_Toc50281876" </w:instrText>
      </w:r>
      <w:r>
        <w:fldChar w:fldCharType="separate"/>
      </w:r>
      <w:r>
        <w:rPr>
          <w:rStyle w:val="35"/>
        </w:rPr>
        <w:t>9</w:t>
      </w:r>
      <w:r>
        <w:rPr>
          <w:rStyle w:val="35"/>
          <w:rFonts w:hint="eastAsia"/>
        </w:rPr>
        <w:t>　安全与应急宣传教育培训</w:t>
      </w:r>
      <w:r>
        <w:tab/>
      </w:r>
      <w:r>
        <w:fldChar w:fldCharType="begin" w:fldLock="1"/>
      </w:r>
      <w:r>
        <w:instrText xml:space="preserve"> PAGEREF _Toc50281876 \h </w:instrText>
      </w:r>
      <w:r>
        <w:fldChar w:fldCharType="separate"/>
      </w:r>
      <w:r>
        <w:t>10</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"_Toc50281877" </w:instrText>
      </w:r>
      <w:r>
        <w:fldChar w:fldCharType="separate"/>
      </w:r>
      <w:r>
        <w:rPr>
          <w:rStyle w:val="35"/>
        </w:rPr>
        <w:t>9.1</w:t>
      </w:r>
      <w:r>
        <w:rPr>
          <w:rStyle w:val="35"/>
          <w:rFonts w:hint="eastAsia"/>
        </w:rPr>
        <w:t>　教育培训人员范围</w:t>
      </w:r>
      <w:r>
        <w:tab/>
      </w:r>
      <w:r>
        <w:fldChar w:fldCharType="begin" w:fldLock="1"/>
      </w:r>
      <w:r>
        <w:instrText xml:space="preserve"> PAGEREF _Toc50281877 \h </w:instrText>
      </w:r>
      <w:r>
        <w:fldChar w:fldCharType="separate"/>
      </w:r>
      <w:r>
        <w:t>10</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"_Toc50281878" </w:instrText>
      </w:r>
      <w:r>
        <w:fldChar w:fldCharType="separate"/>
      </w:r>
      <w:r>
        <w:rPr>
          <w:rStyle w:val="35"/>
        </w:rPr>
        <w:t>9.2</w:t>
      </w:r>
      <w:r>
        <w:rPr>
          <w:rStyle w:val="35"/>
          <w:rFonts w:hint="eastAsia"/>
        </w:rPr>
        <w:t>　基本要求</w:t>
      </w:r>
      <w:r>
        <w:tab/>
      </w:r>
      <w:r>
        <w:fldChar w:fldCharType="begin" w:fldLock="1"/>
      </w:r>
      <w:r>
        <w:instrText xml:space="preserve"> PAGEREF _Toc50281878 \h </w:instrText>
      </w:r>
      <w:r>
        <w:fldChar w:fldCharType="separate"/>
      </w:r>
      <w:r>
        <w:t>10</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"_Toc50281879" </w:instrText>
      </w:r>
      <w:r>
        <w:fldChar w:fldCharType="separate"/>
      </w:r>
      <w:r>
        <w:rPr>
          <w:rStyle w:val="35"/>
        </w:rPr>
        <w:t>9.3</w:t>
      </w:r>
      <w:r>
        <w:rPr>
          <w:rStyle w:val="35"/>
          <w:rFonts w:hint="eastAsia"/>
        </w:rPr>
        <w:t>　培训教育内容</w:t>
      </w:r>
      <w:r>
        <w:tab/>
      </w:r>
      <w:r>
        <w:fldChar w:fldCharType="begin" w:fldLock="1"/>
      </w:r>
      <w:r>
        <w:instrText xml:space="preserve"> PAGEREF _Toc50281879 \h </w:instrText>
      </w:r>
      <w:r>
        <w:fldChar w:fldCharType="separate"/>
      </w:r>
      <w:r>
        <w:t>11</w:t>
      </w:r>
      <w:r>
        <w:fldChar w:fldCharType="end"/>
      </w:r>
      <w:r>
        <w:fldChar w:fldCharType="end"/>
      </w:r>
    </w:p>
    <w:p>
      <w:pPr>
        <w:pStyle w:val="21"/>
      </w:pPr>
      <w:r>
        <w:fldChar w:fldCharType="end"/>
      </w:r>
    </w:p>
    <w:p>
      <w:pPr>
        <w:pStyle w:val="108"/>
      </w:pPr>
      <w:bookmarkStart w:id="27" w:name="_Toc50281828"/>
      <w:r>
        <w:rPr>
          <w:rFonts w:hint="eastAsia"/>
        </w:rPr>
        <w:t>前</w:t>
      </w:r>
      <w:bookmarkStart w:id="28" w:name="BKQY"/>
      <w:r>
        <w:rPr>
          <w:rFonts w:hAnsi="黑体"/>
        </w:rPr>
        <w:t>  </w:t>
      </w:r>
      <w:r>
        <w:rPr>
          <w:rFonts w:hint="eastAsia"/>
        </w:rPr>
        <w:t>言</w:t>
      </w:r>
      <w:bookmarkEnd w:id="20"/>
      <w:bookmarkEnd w:id="21"/>
      <w:bookmarkEnd w:id="22"/>
      <w:bookmarkEnd w:id="23"/>
      <w:bookmarkEnd w:id="24"/>
      <w:bookmarkEnd w:id="25"/>
      <w:bookmarkEnd w:id="27"/>
      <w:bookmarkEnd w:id="28"/>
    </w:p>
    <w:p>
      <w:pPr>
        <w:pStyle w:val="21"/>
      </w:pPr>
      <w:r>
        <w:rPr>
          <w:rFonts w:hint="eastAsia"/>
        </w:rPr>
        <w:t>本文件按照GB/T 1.1—2020《标准化工作导则 第1部分:标准化文件的结构和起草规则》的规定起草。</w:t>
      </w:r>
    </w:p>
    <w:p>
      <w:pPr>
        <w:pStyle w:val="21"/>
      </w:pPr>
      <w:r>
        <w:rPr>
          <w:rFonts w:hint="eastAsia"/>
        </w:rPr>
        <w:t>本文件由</w:t>
      </w:r>
      <w:r>
        <w:rPr>
          <w:rFonts w:hint="eastAsia"/>
          <w:lang w:eastAsia="zh-CN"/>
        </w:rPr>
        <w:t>广西艺术学院</w:t>
      </w:r>
      <w:r>
        <w:rPr>
          <w:rFonts w:hint="eastAsia"/>
        </w:rPr>
        <w:t>提出并归口。</w:t>
      </w:r>
    </w:p>
    <w:p>
      <w:pPr>
        <w:pStyle w:val="21"/>
      </w:pPr>
      <w:r>
        <w:rPr>
          <w:rFonts w:hint="eastAsia"/>
        </w:rPr>
        <w:t>本文件起草单位：</w:t>
      </w:r>
      <w:r>
        <w:rPr>
          <w:rFonts w:hint="eastAsia"/>
          <w:lang w:eastAsia="zh-CN"/>
        </w:rPr>
        <w:t>广西艺术学院、广西鑫霖产学研教育管理有限责任公司、广西标准化协会</w:t>
      </w:r>
      <w:r>
        <w:rPr>
          <w:rFonts w:hint="eastAsia"/>
        </w:rPr>
        <w:t xml:space="preserve"> </w:t>
      </w:r>
    </w:p>
    <w:p>
      <w:pPr>
        <w:pStyle w:val="21"/>
      </w:pPr>
      <w:r>
        <w:rPr>
          <w:rFonts w:hint="eastAsia"/>
        </w:rPr>
        <w:t xml:space="preserve">本文件主要起草人： </w:t>
      </w:r>
    </w:p>
    <w:p>
      <w:pPr>
        <w:pStyle w:val="21"/>
      </w:pPr>
    </w:p>
    <w:p>
      <w:pPr>
        <w:pStyle w:val="21"/>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bookmarkStart w:id="389" w:name="_GoBack"/>
      <w:bookmarkEnd w:id="389"/>
    </w:p>
    <w:p>
      <w:pPr>
        <w:pStyle w:val="46"/>
      </w:pPr>
      <w:sdt>
        <w:sdtPr>
          <w:rPr>
            <w:rFonts w:hint="eastAsia"/>
          </w:rPr>
          <w:alias w:val="标准名称"/>
          <w:tag w:val="标准名称"/>
          <w:id w:val="1795105741"/>
          <w:lock w:val="sdtLocked"/>
          <w:placeholder>
            <w:docPart w:val="111"/>
          </w:placeholder>
          <w:text w:multiLine="1"/>
        </w:sdtPr>
        <w:sdtEndPr>
          <w:rPr>
            <w:rFonts w:hint="eastAsia"/>
          </w:rPr>
        </w:sdtEndPr>
        <w:sdtContent>
          <w:r>
            <w:rPr>
              <w:rFonts w:hint="eastAsia"/>
            </w:rPr>
            <w:t>幼儿园安全与应急管理规范</w:t>
          </w:r>
        </w:sdtContent>
      </w:sdt>
      <w:bookmarkStart w:id="29" w:name="StandardName"/>
      <w:bookmarkEnd w:id="29"/>
    </w:p>
    <w:p>
      <w:pPr>
        <w:pStyle w:val="41"/>
        <w:spacing w:before="312" w:after="312"/>
      </w:pPr>
      <w:bookmarkStart w:id="30" w:name="_Toc50063559"/>
      <w:bookmarkStart w:id="31" w:name="_Toc20485816"/>
      <w:bookmarkStart w:id="32" w:name="_Toc50281829"/>
      <w:bookmarkStart w:id="33" w:name="_Toc20485743"/>
      <w:bookmarkStart w:id="34" w:name="_Toc47203355"/>
      <w:bookmarkStart w:id="35" w:name="_Toc50241648"/>
      <w:bookmarkStart w:id="36" w:name="_Toc50195210"/>
      <w:r>
        <w:rPr>
          <w:rFonts w:hint="eastAsia"/>
        </w:rPr>
        <w:t>范围</w:t>
      </w:r>
      <w:bookmarkEnd w:id="30"/>
      <w:bookmarkEnd w:id="31"/>
      <w:bookmarkEnd w:id="32"/>
      <w:bookmarkEnd w:id="33"/>
      <w:bookmarkEnd w:id="34"/>
      <w:bookmarkEnd w:id="35"/>
      <w:bookmarkEnd w:id="36"/>
    </w:p>
    <w:p>
      <w:pPr>
        <w:pStyle w:val="21"/>
      </w:pPr>
      <w:r>
        <w:rPr>
          <w:rFonts w:hint="eastAsia"/>
        </w:rPr>
        <w:t>本文件规定了广西壮族自治区幼儿园安全与应急的管理职责，日常安全工作中的要求、应对突发事件的处理、幼儿园的选址和设施安全要求以及检查、监督和评估的管理规范。</w:t>
      </w:r>
    </w:p>
    <w:p>
      <w:pPr>
        <w:pStyle w:val="21"/>
      </w:pPr>
      <w:r>
        <w:rPr>
          <w:rFonts w:hint="eastAsia"/>
        </w:rPr>
        <w:t>本文件适用于广西壮族自治区为3岁至6岁儿童提供保教服务的幼儿园（点），包括教育部门办园、其他部门办园、地方企业办园、事业单位办园、部队办园、集体办园、民办幼儿园和经登记备案的社区办园点。</w:t>
      </w:r>
    </w:p>
    <w:p>
      <w:pPr>
        <w:pStyle w:val="41"/>
        <w:spacing w:before="312" w:after="312"/>
      </w:pPr>
      <w:bookmarkStart w:id="37" w:name="_Toc50063560"/>
      <w:bookmarkStart w:id="38" w:name="_Toc50241649"/>
      <w:bookmarkStart w:id="39" w:name="_Toc50195211"/>
      <w:bookmarkStart w:id="40" w:name="_Toc47203356"/>
      <w:bookmarkStart w:id="41" w:name="_Toc20485817"/>
      <w:bookmarkStart w:id="42" w:name="_Toc20485744"/>
      <w:bookmarkStart w:id="43" w:name="_Toc50281830"/>
      <w:r>
        <w:rPr>
          <w:rFonts w:hint="eastAsia"/>
        </w:rPr>
        <w:t>规范性引用文件</w:t>
      </w:r>
      <w:bookmarkEnd w:id="37"/>
      <w:bookmarkEnd w:id="38"/>
      <w:bookmarkEnd w:id="39"/>
      <w:bookmarkEnd w:id="40"/>
      <w:bookmarkEnd w:id="41"/>
      <w:bookmarkEnd w:id="42"/>
      <w:bookmarkEnd w:id="43"/>
    </w:p>
    <w:p>
      <w:pPr>
        <w:pStyle w:val="21"/>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1"/>
      </w:pPr>
      <w:r>
        <w:t>GB 50016</w:t>
      </w:r>
      <w:r>
        <w:rPr>
          <w:rFonts w:hint="eastAsia"/>
        </w:rPr>
        <w:t xml:space="preserve"> 建筑设计防火规范</w:t>
      </w:r>
    </w:p>
    <w:p>
      <w:pPr>
        <w:pStyle w:val="21"/>
      </w:pPr>
      <w:r>
        <w:rPr>
          <w:rFonts w:hint="eastAsia"/>
        </w:rPr>
        <w:t>GB 24406 专用校车学生座椅系统及其车辆固定件的强度</w:t>
      </w:r>
    </w:p>
    <w:p>
      <w:pPr>
        <w:pStyle w:val="21"/>
      </w:pPr>
      <w:r>
        <w:rPr>
          <w:rFonts w:hint="eastAsia"/>
        </w:rPr>
        <w:t>GB 24407 专用校车安全技术条件</w:t>
      </w:r>
    </w:p>
    <w:p>
      <w:pPr>
        <w:pStyle w:val="21"/>
      </w:pPr>
      <w:r>
        <w:t>GB 24315</w:t>
      </w:r>
      <w:r>
        <w:rPr>
          <w:rFonts w:hint="eastAsia"/>
        </w:rPr>
        <w:t xml:space="preserve"> 校车标识</w:t>
      </w:r>
    </w:p>
    <w:p>
      <w:pPr>
        <w:pStyle w:val="21"/>
      </w:pPr>
      <w:r>
        <w:t>GB 14166</w:t>
      </w:r>
      <w:r>
        <w:rPr>
          <w:rFonts w:hint="eastAsia"/>
        </w:rPr>
        <w:t xml:space="preserve"> 机动车乘员用安全带、约束系统、儿童约束系统和 ISOFIX 儿童约束系统</w:t>
      </w:r>
    </w:p>
    <w:p>
      <w:pPr>
        <w:pStyle w:val="21"/>
      </w:pPr>
      <w:r>
        <w:t>GB 14167</w:t>
      </w:r>
      <w:r>
        <w:rPr>
          <w:rFonts w:hint="eastAsia"/>
        </w:rPr>
        <w:t xml:space="preserve"> 汽车安全带安装固定点、ISOFIX固定点系统及上拉带固定点</w:t>
      </w:r>
    </w:p>
    <w:p>
      <w:pPr>
        <w:pStyle w:val="41"/>
        <w:spacing w:before="312" w:after="312"/>
      </w:pPr>
      <w:bookmarkStart w:id="44" w:name="_Toc20485745"/>
      <w:bookmarkStart w:id="45" w:name="_Toc50063561"/>
      <w:bookmarkStart w:id="46" w:name="_Toc50195212"/>
      <w:bookmarkStart w:id="47" w:name="_Toc50241650"/>
      <w:bookmarkStart w:id="48" w:name="_Toc50281831"/>
      <w:bookmarkStart w:id="49" w:name="_Toc20485818"/>
      <w:bookmarkStart w:id="50" w:name="_Toc47203357"/>
      <w:r>
        <w:t>术语和定义</w:t>
      </w:r>
      <w:bookmarkEnd w:id="44"/>
      <w:bookmarkEnd w:id="45"/>
      <w:bookmarkEnd w:id="46"/>
      <w:bookmarkEnd w:id="47"/>
      <w:bookmarkEnd w:id="48"/>
      <w:bookmarkEnd w:id="49"/>
      <w:bookmarkEnd w:id="50"/>
    </w:p>
    <w:p>
      <w:pPr>
        <w:pStyle w:val="38"/>
        <w:spacing w:before="156" w:after="156"/>
      </w:pPr>
      <w:bookmarkStart w:id="51" w:name="_Toc20485819"/>
      <w:bookmarkEnd w:id="51"/>
      <w:bookmarkStart w:id="52" w:name="_Toc47203358"/>
      <w:bookmarkEnd w:id="52"/>
      <w:bookmarkStart w:id="53" w:name="_Toc20485746"/>
      <w:bookmarkEnd w:id="53"/>
      <w:bookmarkStart w:id="54" w:name="_Toc50281832"/>
      <w:bookmarkEnd w:id="54"/>
      <w:bookmarkStart w:id="55" w:name="_Toc50241651"/>
      <w:bookmarkEnd w:id="55"/>
      <w:bookmarkStart w:id="56" w:name="_Toc50063562"/>
      <w:bookmarkEnd w:id="56"/>
      <w:bookmarkStart w:id="57" w:name="_Toc50195213"/>
      <w:bookmarkEnd w:id="57"/>
    </w:p>
    <w:p>
      <w:pPr>
        <w:pStyle w:val="38"/>
        <w:numPr>
          <w:ilvl w:val="0"/>
          <w:numId w:val="0"/>
        </w:numPr>
        <w:spacing w:beforeLines="0" w:afterLines="0"/>
        <w:ind w:firstLine="420" w:firstLineChars="200"/>
      </w:pPr>
      <w:bookmarkStart w:id="58" w:name="_Toc20485747"/>
      <w:bookmarkStart w:id="59" w:name="_Toc20485820"/>
      <w:bookmarkStart w:id="60" w:name="_Toc47203359"/>
      <w:bookmarkStart w:id="61" w:name="_Toc50063563"/>
      <w:bookmarkStart w:id="62" w:name="_Toc50195214"/>
      <w:bookmarkStart w:id="63" w:name="_Toc50241652"/>
      <w:bookmarkStart w:id="64" w:name="_Toc50281833"/>
      <w:r>
        <w:rPr>
          <w:rFonts w:hint="eastAsia"/>
        </w:rPr>
        <w:t>幼儿园</w:t>
      </w:r>
      <w:r>
        <w:t>安全与应急管理</w:t>
      </w:r>
      <w:bookmarkEnd w:id="58"/>
      <w:bookmarkEnd w:id="59"/>
      <w:bookmarkEnd w:id="60"/>
      <w:bookmarkEnd w:id="61"/>
      <w:bookmarkEnd w:id="62"/>
      <w:bookmarkEnd w:id="63"/>
      <w:bookmarkEnd w:id="64"/>
    </w:p>
    <w:p>
      <w:pPr>
        <w:pStyle w:val="21"/>
      </w:pPr>
      <w:r>
        <w:rPr>
          <w:rFonts w:hint="eastAsia"/>
        </w:rPr>
        <w:t>为维护幼儿园教师、学生人身和财产的安全，采取有针对性的安全保卫工作组织、资源配置和管理等活动。</w:t>
      </w:r>
    </w:p>
    <w:p>
      <w:pPr>
        <w:pStyle w:val="38"/>
        <w:spacing w:before="156" w:after="156"/>
      </w:pPr>
      <w:bookmarkStart w:id="65" w:name="_Toc20485821"/>
      <w:bookmarkEnd w:id="65"/>
      <w:bookmarkStart w:id="66" w:name="_Toc50281834"/>
      <w:bookmarkEnd w:id="66"/>
      <w:bookmarkStart w:id="67" w:name="_Toc50241653"/>
      <w:bookmarkEnd w:id="67"/>
      <w:bookmarkStart w:id="68" w:name="_Toc50063564"/>
      <w:bookmarkEnd w:id="68"/>
      <w:bookmarkStart w:id="69" w:name="_Toc50195215"/>
      <w:bookmarkEnd w:id="69"/>
      <w:bookmarkStart w:id="70" w:name="_Toc47203360"/>
      <w:bookmarkEnd w:id="70"/>
      <w:bookmarkStart w:id="71" w:name="_Toc20485748"/>
      <w:bookmarkEnd w:id="71"/>
    </w:p>
    <w:p>
      <w:pPr>
        <w:pStyle w:val="38"/>
        <w:numPr>
          <w:ilvl w:val="0"/>
          <w:numId w:val="0"/>
        </w:numPr>
        <w:spacing w:beforeLines="0" w:afterLines="0"/>
        <w:ind w:firstLine="420" w:firstLineChars="200"/>
      </w:pPr>
      <w:bookmarkStart w:id="72" w:name="_Toc50241654"/>
      <w:bookmarkStart w:id="73" w:name="_Toc50281835"/>
      <w:bookmarkStart w:id="74" w:name="_Toc50063565"/>
      <w:bookmarkStart w:id="75" w:name="_Toc20485749"/>
      <w:bookmarkStart w:id="76" w:name="_Toc47203361"/>
      <w:bookmarkStart w:id="77" w:name="_Toc20485822"/>
      <w:bookmarkStart w:id="78" w:name="_Toc50195216"/>
      <w:r>
        <w:rPr>
          <w:rFonts w:hint="eastAsia"/>
        </w:rPr>
        <w:t>幼儿园</w:t>
      </w:r>
      <w:r>
        <w:t>安全与应急管理责任人</w:t>
      </w:r>
      <w:bookmarkEnd w:id="72"/>
      <w:bookmarkEnd w:id="73"/>
      <w:bookmarkEnd w:id="74"/>
      <w:bookmarkEnd w:id="75"/>
      <w:bookmarkEnd w:id="76"/>
      <w:bookmarkEnd w:id="77"/>
      <w:bookmarkEnd w:id="78"/>
    </w:p>
    <w:p>
      <w:pPr>
        <w:pStyle w:val="21"/>
      </w:pPr>
      <w:r>
        <w:rPr>
          <w:rFonts w:hint="eastAsia"/>
        </w:rPr>
        <w:t>幼儿园安全管理工作的第一责任人，应由幼儿园的法人担任，执行园长承担管理责任，举办者是共同责任人。</w:t>
      </w:r>
    </w:p>
    <w:p>
      <w:pPr>
        <w:pStyle w:val="38"/>
        <w:spacing w:before="156" w:after="156"/>
      </w:pPr>
      <w:bookmarkStart w:id="79" w:name="_Toc20485750"/>
      <w:bookmarkEnd w:id="79"/>
      <w:bookmarkStart w:id="80" w:name="_Toc20485823"/>
      <w:bookmarkEnd w:id="80"/>
      <w:bookmarkStart w:id="81" w:name="_Toc47203362"/>
      <w:bookmarkEnd w:id="81"/>
      <w:bookmarkStart w:id="82" w:name="_Toc50063566"/>
      <w:bookmarkEnd w:id="82"/>
      <w:bookmarkStart w:id="83" w:name="_Toc50195217"/>
      <w:bookmarkEnd w:id="83"/>
      <w:bookmarkStart w:id="84" w:name="_Toc50241655"/>
      <w:bookmarkEnd w:id="84"/>
      <w:bookmarkStart w:id="85" w:name="_Toc50281836"/>
      <w:bookmarkEnd w:id="85"/>
    </w:p>
    <w:p>
      <w:pPr>
        <w:pStyle w:val="38"/>
        <w:numPr>
          <w:ilvl w:val="0"/>
          <w:numId w:val="0"/>
        </w:numPr>
        <w:spacing w:beforeLines="0" w:afterLines="0"/>
        <w:ind w:firstLine="420" w:firstLineChars="200"/>
      </w:pPr>
      <w:bookmarkStart w:id="86" w:name="_Toc47203363"/>
      <w:bookmarkStart w:id="87" w:name="_Toc50063567"/>
      <w:bookmarkStart w:id="88" w:name="_Toc50195218"/>
      <w:bookmarkStart w:id="89" w:name="_Toc50241656"/>
      <w:bookmarkStart w:id="90" w:name="_Toc50281837"/>
      <w:r>
        <w:rPr>
          <w:rFonts w:hint="eastAsia"/>
        </w:rPr>
        <w:t>幼儿园安全保卫部门管理人员</w:t>
      </w:r>
      <w:bookmarkEnd w:id="86"/>
      <w:bookmarkEnd w:id="87"/>
      <w:bookmarkEnd w:id="88"/>
      <w:bookmarkEnd w:id="89"/>
      <w:bookmarkEnd w:id="90"/>
    </w:p>
    <w:p>
      <w:pPr>
        <w:pStyle w:val="21"/>
      </w:pPr>
      <w:r>
        <w:rPr>
          <w:rFonts w:hint="eastAsia"/>
        </w:rPr>
        <w:t>具备保卫业务知识、资质和工作经验，身心健康，按照幼儿园安全与应急管理制度要求开展安全与应急管理工作的人员。</w:t>
      </w:r>
    </w:p>
    <w:p>
      <w:pPr>
        <w:pStyle w:val="38"/>
        <w:spacing w:before="156" w:after="156"/>
      </w:pPr>
      <w:bookmarkStart w:id="91" w:name="_Toc20485752"/>
      <w:bookmarkEnd w:id="91"/>
      <w:bookmarkStart w:id="92" w:name="_Toc20485825"/>
      <w:bookmarkEnd w:id="92"/>
      <w:bookmarkStart w:id="93" w:name="_Toc20485754"/>
      <w:bookmarkEnd w:id="93"/>
      <w:bookmarkStart w:id="94" w:name="_Toc20485827"/>
      <w:bookmarkEnd w:id="94"/>
      <w:bookmarkStart w:id="95" w:name="_Toc47203364"/>
      <w:bookmarkEnd w:id="95"/>
      <w:bookmarkStart w:id="96" w:name="_Toc50063568"/>
      <w:bookmarkEnd w:id="96"/>
      <w:bookmarkStart w:id="97" w:name="_Toc50195219"/>
      <w:bookmarkEnd w:id="97"/>
      <w:bookmarkStart w:id="98" w:name="_Toc50241657"/>
      <w:bookmarkEnd w:id="98"/>
      <w:bookmarkStart w:id="99" w:name="_Toc50281838"/>
      <w:bookmarkEnd w:id="99"/>
    </w:p>
    <w:p>
      <w:pPr>
        <w:pStyle w:val="38"/>
        <w:numPr>
          <w:ilvl w:val="0"/>
          <w:numId w:val="0"/>
        </w:numPr>
        <w:spacing w:beforeLines="0" w:afterLines="0"/>
        <w:ind w:firstLine="420" w:firstLineChars="200"/>
      </w:pPr>
      <w:bookmarkStart w:id="100" w:name="_Toc20485755"/>
      <w:bookmarkStart w:id="101" w:name="_Toc20485828"/>
      <w:bookmarkStart w:id="102" w:name="_Toc47203365"/>
      <w:bookmarkStart w:id="103" w:name="_Toc50063569"/>
      <w:bookmarkStart w:id="104" w:name="_Toc50195220"/>
      <w:bookmarkStart w:id="105" w:name="_Toc50241658"/>
      <w:bookmarkStart w:id="106" w:name="_Toc50281839"/>
      <w:r>
        <w:rPr>
          <w:rFonts w:hint="eastAsia"/>
        </w:rPr>
        <w:t>幼儿园安全管理体系文件</w:t>
      </w:r>
      <w:bookmarkEnd w:id="100"/>
      <w:bookmarkEnd w:id="101"/>
      <w:bookmarkEnd w:id="102"/>
      <w:bookmarkEnd w:id="103"/>
      <w:bookmarkEnd w:id="104"/>
      <w:bookmarkEnd w:id="105"/>
      <w:bookmarkEnd w:id="106"/>
    </w:p>
    <w:p>
      <w:pPr>
        <w:pStyle w:val="21"/>
      </w:pPr>
      <w:r>
        <w:rPr>
          <w:rFonts w:hint="eastAsia"/>
        </w:rPr>
        <w:t>幼儿园安全管理体系文件应包括形成文件的安全管理手册和安全管理工作记录。</w:t>
      </w:r>
    </w:p>
    <w:p>
      <w:pPr>
        <w:pStyle w:val="38"/>
        <w:spacing w:before="156" w:after="156"/>
      </w:pPr>
      <w:bookmarkStart w:id="107" w:name="_Toc20485756"/>
      <w:bookmarkEnd w:id="107"/>
      <w:bookmarkStart w:id="108" w:name="_Toc20485829"/>
      <w:bookmarkEnd w:id="108"/>
      <w:bookmarkStart w:id="109" w:name="_Toc47203366"/>
      <w:bookmarkEnd w:id="109"/>
      <w:bookmarkStart w:id="110" w:name="_Toc50063570"/>
      <w:bookmarkEnd w:id="110"/>
      <w:bookmarkStart w:id="111" w:name="_Toc50195221"/>
      <w:bookmarkEnd w:id="111"/>
      <w:bookmarkStart w:id="112" w:name="_Toc50241659"/>
      <w:bookmarkEnd w:id="112"/>
      <w:bookmarkStart w:id="113" w:name="_Toc50281840"/>
      <w:bookmarkEnd w:id="113"/>
    </w:p>
    <w:p>
      <w:pPr>
        <w:pStyle w:val="38"/>
        <w:numPr>
          <w:ilvl w:val="0"/>
          <w:numId w:val="0"/>
        </w:numPr>
        <w:spacing w:beforeLines="0" w:afterLines="0"/>
        <w:ind w:firstLine="420" w:firstLineChars="200"/>
      </w:pPr>
      <w:bookmarkStart w:id="114" w:name="_Toc20485757"/>
      <w:bookmarkStart w:id="115" w:name="_Toc20485830"/>
      <w:bookmarkStart w:id="116" w:name="_Toc47203367"/>
      <w:bookmarkStart w:id="117" w:name="_Toc50063571"/>
      <w:bookmarkStart w:id="118" w:name="_Toc50195222"/>
      <w:bookmarkStart w:id="119" w:name="_Toc50241660"/>
      <w:bookmarkStart w:id="120" w:name="_Toc50281841"/>
      <w:r>
        <w:rPr>
          <w:rFonts w:hint="eastAsia"/>
        </w:rPr>
        <w:t>幼儿园周边</w:t>
      </w:r>
      <w:bookmarkEnd w:id="114"/>
      <w:bookmarkEnd w:id="115"/>
      <w:bookmarkEnd w:id="116"/>
      <w:bookmarkEnd w:id="117"/>
      <w:bookmarkEnd w:id="118"/>
      <w:bookmarkEnd w:id="119"/>
      <w:bookmarkEnd w:id="120"/>
    </w:p>
    <w:p>
      <w:pPr>
        <w:pStyle w:val="21"/>
      </w:pPr>
      <w:bookmarkStart w:id="121" w:name="_Toc20485758"/>
      <w:bookmarkEnd w:id="121"/>
      <w:bookmarkStart w:id="122" w:name="_Toc20485831"/>
      <w:bookmarkEnd w:id="122"/>
      <w:r>
        <w:rPr>
          <w:rFonts w:hint="eastAsia"/>
        </w:rPr>
        <w:t>在距离学生上下学进出的校门口50m道路范围内，以及距离园区封闭周界外50m范围内的区域。</w:t>
      </w:r>
    </w:p>
    <w:p>
      <w:pPr>
        <w:pStyle w:val="38"/>
        <w:spacing w:before="156" w:after="156"/>
      </w:pPr>
      <w:bookmarkStart w:id="123" w:name="_Toc47203368"/>
      <w:bookmarkEnd w:id="123"/>
      <w:bookmarkStart w:id="124" w:name="_Toc50063572"/>
      <w:bookmarkEnd w:id="124"/>
      <w:bookmarkStart w:id="125" w:name="_Toc50195223"/>
      <w:bookmarkEnd w:id="125"/>
      <w:bookmarkStart w:id="126" w:name="_Toc50241661"/>
      <w:bookmarkEnd w:id="126"/>
      <w:bookmarkStart w:id="127" w:name="_Toc50281842"/>
      <w:bookmarkEnd w:id="127"/>
    </w:p>
    <w:p>
      <w:pPr>
        <w:pStyle w:val="38"/>
        <w:numPr>
          <w:ilvl w:val="0"/>
          <w:numId w:val="0"/>
        </w:numPr>
        <w:spacing w:beforeLines="0" w:afterLines="0"/>
        <w:ind w:firstLine="420" w:firstLineChars="200"/>
      </w:pPr>
      <w:bookmarkStart w:id="128" w:name="_Toc20485759"/>
      <w:bookmarkStart w:id="129" w:name="_Toc20485832"/>
      <w:bookmarkStart w:id="130" w:name="_Toc47203369"/>
      <w:bookmarkStart w:id="131" w:name="_Toc50063573"/>
      <w:bookmarkStart w:id="132" w:name="_Toc50195224"/>
      <w:bookmarkStart w:id="133" w:name="_Toc50241662"/>
      <w:bookmarkStart w:id="134" w:name="_Toc50281843"/>
      <w:r>
        <w:t>校车</w:t>
      </w:r>
      <w:bookmarkEnd w:id="128"/>
      <w:bookmarkEnd w:id="129"/>
      <w:bookmarkEnd w:id="130"/>
      <w:bookmarkEnd w:id="131"/>
      <w:bookmarkEnd w:id="132"/>
      <w:bookmarkEnd w:id="133"/>
      <w:bookmarkEnd w:id="134"/>
    </w:p>
    <w:p>
      <w:pPr>
        <w:pStyle w:val="21"/>
      </w:pPr>
      <w:r>
        <w:rPr>
          <w:rFonts w:hint="eastAsia"/>
        </w:rPr>
        <w:t>幼儿园按照规定配置或租用的，有明确标志的，专门用以运载学生上学、放学的车辆。</w:t>
      </w:r>
    </w:p>
    <w:p>
      <w:pPr>
        <w:pStyle w:val="41"/>
        <w:spacing w:before="312" w:after="312"/>
      </w:pPr>
      <w:bookmarkStart w:id="135" w:name="_Toc20485760"/>
      <w:bookmarkStart w:id="136" w:name="_Toc20485833"/>
      <w:bookmarkStart w:id="137" w:name="_Toc47203370"/>
      <w:bookmarkStart w:id="138" w:name="_Toc50063574"/>
      <w:bookmarkStart w:id="139" w:name="_Toc50195225"/>
      <w:bookmarkStart w:id="140" w:name="_Toc50241663"/>
      <w:bookmarkStart w:id="141" w:name="_Toc50281844"/>
      <w:r>
        <w:t>总体要求</w:t>
      </w:r>
      <w:bookmarkEnd w:id="135"/>
      <w:bookmarkEnd w:id="136"/>
      <w:bookmarkEnd w:id="137"/>
      <w:bookmarkEnd w:id="138"/>
      <w:bookmarkEnd w:id="139"/>
      <w:bookmarkEnd w:id="140"/>
      <w:bookmarkEnd w:id="141"/>
    </w:p>
    <w:p>
      <w:pPr>
        <w:pStyle w:val="38"/>
        <w:spacing w:before="156" w:after="156"/>
      </w:pPr>
      <w:bookmarkStart w:id="142" w:name="_Toc20485761"/>
      <w:bookmarkStart w:id="143" w:name="_Toc20485834"/>
      <w:bookmarkStart w:id="144" w:name="_Toc47203371"/>
      <w:bookmarkStart w:id="145" w:name="_Toc50063575"/>
      <w:bookmarkStart w:id="146" w:name="_Toc50195226"/>
      <w:bookmarkStart w:id="147" w:name="_Toc50241664"/>
      <w:bookmarkStart w:id="148" w:name="_Toc50281845"/>
      <w:r>
        <w:t>安全管理体系</w:t>
      </w:r>
      <w:bookmarkEnd w:id="142"/>
      <w:bookmarkEnd w:id="143"/>
      <w:bookmarkEnd w:id="144"/>
      <w:bookmarkEnd w:id="145"/>
      <w:bookmarkEnd w:id="146"/>
      <w:bookmarkEnd w:id="147"/>
      <w:bookmarkEnd w:id="148"/>
    </w:p>
    <w:p>
      <w:pPr>
        <w:pStyle w:val="59"/>
        <w:ind w:left="0"/>
      </w:pPr>
      <w:r>
        <w:rPr>
          <w:rFonts w:hint="eastAsia"/>
        </w:rPr>
        <w:t>幼儿园应根据国家有关安全管理法律、法规、标准、政府机构安全管理文件要求，建立满足幼儿园需要的安全管理体系。</w:t>
      </w:r>
    </w:p>
    <w:p>
      <w:pPr>
        <w:pStyle w:val="59"/>
        <w:ind w:left="0"/>
      </w:pPr>
      <w:r>
        <w:rPr>
          <w:rFonts w:hint="eastAsia"/>
        </w:rPr>
        <w:t>幼儿园安全管理体系应由安全管理机构、管理制度、管理人员、安全管理系统（包括设施、设备和器具）等组成。</w:t>
      </w:r>
    </w:p>
    <w:p>
      <w:pPr>
        <w:pStyle w:val="59"/>
        <w:ind w:left="0"/>
      </w:pPr>
      <w:r>
        <w:rPr>
          <w:rFonts w:hint="eastAsia"/>
        </w:rPr>
        <w:t>幼儿园应将安全管理体系形成文件，在幼儿园的安全管理工作中应贯彻实施安全管理体系的各项规定，并应持续进行评估和改进，以确保其适应性和有效性。</w:t>
      </w:r>
    </w:p>
    <w:p>
      <w:pPr>
        <w:pStyle w:val="59"/>
        <w:ind w:left="0"/>
      </w:pPr>
      <w:r>
        <w:rPr>
          <w:rFonts w:hint="eastAsia"/>
        </w:rPr>
        <w:t>幼儿园安全管理体系应经幼儿园安全管理责任人批准后运行。</w:t>
      </w:r>
    </w:p>
    <w:p>
      <w:pPr>
        <w:pStyle w:val="38"/>
        <w:spacing w:before="156" w:after="156"/>
      </w:pPr>
      <w:bookmarkStart w:id="149" w:name="_Toc20485762"/>
      <w:bookmarkStart w:id="150" w:name="_Toc20485835"/>
      <w:bookmarkStart w:id="151" w:name="_Toc47203372"/>
      <w:bookmarkStart w:id="152" w:name="_Toc50063576"/>
      <w:bookmarkStart w:id="153" w:name="_Toc50195227"/>
      <w:bookmarkStart w:id="154" w:name="_Toc50241665"/>
      <w:bookmarkStart w:id="155" w:name="_Toc50281846"/>
      <w:r>
        <w:rPr>
          <w:rFonts w:hint="eastAsia"/>
        </w:rPr>
        <w:t>安全管理方针和目标</w:t>
      </w:r>
      <w:bookmarkEnd w:id="149"/>
      <w:bookmarkEnd w:id="150"/>
      <w:bookmarkEnd w:id="151"/>
      <w:bookmarkEnd w:id="152"/>
      <w:bookmarkEnd w:id="153"/>
      <w:bookmarkEnd w:id="154"/>
      <w:bookmarkEnd w:id="155"/>
    </w:p>
    <w:p>
      <w:pPr>
        <w:pStyle w:val="59"/>
        <w:ind w:left="0"/>
      </w:pPr>
      <w:r>
        <w:rPr>
          <w:rFonts w:hint="eastAsia"/>
        </w:rPr>
        <w:t xml:space="preserve">幼儿园应遵循“积极预防、依法管理、社会参与、各负其责”的安全管理方针。 </w:t>
      </w:r>
    </w:p>
    <w:p>
      <w:pPr>
        <w:pStyle w:val="59"/>
        <w:ind w:left="0"/>
      </w:pPr>
      <w:r>
        <w:rPr>
          <w:rFonts w:hint="eastAsia"/>
        </w:rPr>
        <w:t>幼儿园应以“全面落实，全员参与，全程控制”为安全管理目标。</w:t>
      </w:r>
    </w:p>
    <w:p>
      <w:pPr>
        <w:pStyle w:val="38"/>
        <w:spacing w:before="156" w:after="156"/>
      </w:pPr>
      <w:bookmarkStart w:id="156" w:name="_Toc20485763"/>
      <w:bookmarkStart w:id="157" w:name="_Toc20485836"/>
      <w:bookmarkStart w:id="158" w:name="_Toc47203373"/>
      <w:bookmarkStart w:id="159" w:name="_Toc50063577"/>
      <w:bookmarkStart w:id="160" w:name="_Toc50195228"/>
      <w:bookmarkStart w:id="161" w:name="_Toc50241666"/>
      <w:bookmarkStart w:id="162" w:name="_Toc50281847"/>
      <w:r>
        <w:rPr>
          <w:rFonts w:hint="eastAsia"/>
        </w:rPr>
        <w:t>安全管理体系文件要求</w:t>
      </w:r>
      <w:bookmarkEnd w:id="156"/>
      <w:bookmarkEnd w:id="157"/>
      <w:bookmarkEnd w:id="158"/>
      <w:bookmarkEnd w:id="159"/>
      <w:bookmarkEnd w:id="160"/>
      <w:bookmarkEnd w:id="161"/>
      <w:bookmarkEnd w:id="162"/>
    </w:p>
    <w:p>
      <w:pPr>
        <w:pStyle w:val="42"/>
        <w:spacing w:before="156" w:after="156"/>
      </w:pPr>
      <w:bookmarkStart w:id="163" w:name="_Toc20485764"/>
      <w:r>
        <w:rPr>
          <w:rFonts w:hint="eastAsia"/>
        </w:rPr>
        <w:t>安全管理手册</w:t>
      </w:r>
      <w:bookmarkEnd w:id="163"/>
    </w:p>
    <w:p>
      <w:pPr>
        <w:pStyle w:val="109"/>
      </w:pPr>
      <w:r>
        <w:rPr>
          <w:rFonts w:hint="eastAsia"/>
        </w:rPr>
        <w:t>幼儿园应建立、批准、执行安全管理手册，并应保持其持续和有效。</w:t>
      </w:r>
    </w:p>
    <w:p>
      <w:pPr>
        <w:pStyle w:val="109"/>
      </w:pPr>
      <w:r>
        <w:rPr>
          <w:rFonts w:hint="eastAsia"/>
        </w:rPr>
        <w:t>幼儿园安全管理手册应由安全管理目标、安全管理责任人、安全保卫机构职责、安全管理要求和工作程序等基本要素构成。</w:t>
      </w:r>
    </w:p>
    <w:p>
      <w:pPr>
        <w:pStyle w:val="42"/>
        <w:spacing w:before="156" w:after="156"/>
      </w:pPr>
      <w:bookmarkStart w:id="164" w:name="_Toc20485765"/>
      <w:r>
        <w:rPr>
          <w:rFonts w:hint="eastAsia"/>
        </w:rPr>
        <w:t>安全管理工作记录</w:t>
      </w:r>
      <w:bookmarkEnd w:id="164"/>
    </w:p>
    <w:p>
      <w:pPr>
        <w:pStyle w:val="109"/>
      </w:pPr>
      <w:bookmarkStart w:id="165" w:name="_Toc20485766"/>
      <w:r>
        <w:rPr>
          <w:rFonts w:hint="eastAsia"/>
        </w:rPr>
        <w:t>安全管理工作记录是为提供符合要求及安全管理体系有效运行的证据而建立的记录。</w:t>
      </w:r>
    </w:p>
    <w:p>
      <w:pPr>
        <w:pStyle w:val="109"/>
      </w:pPr>
      <w:r>
        <w:rPr>
          <w:rFonts w:hint="eastAsia"/>
        </w:rPr>
        <w:t>安全管理工作记录应包含时间、地点、人员、事件（措施、决议、状态等）、结果等要素。</w:t>
      </w:r>
    </w:p>
    <w:p>
      <w:pPr>
        <w:pStyle w:val="109"/>
      </w:pPr>
      <w:r>
        <w:rPr>
          <w:rFonts w:hint="eastAsia"/>
        </w:rPr>
        <w:t>安全管理工作记录应按规定的时间、方式予以保存。</w:t>
      </w:r>
    </w:p>
    <w:p>
      <w:pPr>
        <w:pStyle w:val="42"/>
        <w:spacing w:before="156" w:after="156"/>
      </w:pPr>
      <w:r>
        <w:rPr>
          <w:rFonts w:hint="eastAsia"/>
        </w:rPr>
        <w:t>安全管理体系文件的控制</w:t>
      </w:r>
      <w:bookmarkEnd w:id="165"/>
    </w:p>
    <w:p>
      <w:pPr>
        <w:pStyle w:val="109"/>
      </w:pPr>
      <w:r>
        <w:rPr>
          <w:rFonts w:hint="eastAsia"/>
        </w:rPr>
        <w:t>安全管理体系要求的所有文件应予以控制。</w:t>
      </w:r>
    </w:p>
    <w:p>
      <w:pPr>
        <w:pStyle w:val="109"/>
      </w:pPr>
      <w:r>
        <w:rPr>
          <w:rFonts w:hint="eastAsia"/>
        </w:rPr>
        <w:t>幼儿园对安全管理体系文件控制应包括：</w:t>
      </w:r>
    </w:p>
    <w:p>
      <w:pPr>
        <w:pStyle w:val="55"/>
      </w:pPr>
      <w:bookmarkStart w:id="166" w:name="_Toc20485767"/>
      <w:bookmarkStart w:id="167" w:name="_Toc20485837"/>
      <w:r>
        <w:rPr>
          <w:rFonts w:hint="eastAsia"/>
        </w:rPr>
        <w:t>安全防范管理手册发布前应得到相应的批准，有更新时，应重新获得批准；</w:t>
      </w:r>
    </w:p>
    <w:p>
      <w:pPr>
        <w:pStyle w:val="55"/>
      </w:pPr>
      <w:r>
        <w:rPr>
          <w:rFonts w:hint="eastAsia"/>
        </w:rPr>
        <w:t>在使用处获得的安全管理体系文件应确保其为有效版本；</w:t>
      </w:r>
    </w:p>
    <w:p>
      <w:pPr>
        <w:pStyle w:val="55"/>
      </w:pPr>
      <w:r>
        <w:rPr>
          <w:rFonts w:hint="eastAsia"/>
        </w:rPr>
        <w:t>安全管理体系文件应保持清晰、完整和准确，易于识别和检索；</w:t>
      </w:r>
    </w:p>
    <w:p>
      <w:pPr>
        <w:pStyle w:val="55"/>
      </w:pPr>
      <w:r>
        <w:rPr>
          <w:rFonts w:hint="eastAsia"/>
        </w:rPr>
        <w:t>幼儿园对确定的与策划和运行安全管理体系相关的外来文件（如：国家有关安全防范管理的法律、法规、标准、政府机构安全防范管理文件）应进行标识和管理；</w:t>
      </w:r>
    </w:p>
    <w:p>
      <w:pPr>
        <w:pStyle w:val="55"/>
      </w:pPr>
      <w:r>
        <w:rPr>
          <w:rFonts w:hint="eastAsia"/>
        </w:rPr>
        <w:t>安全管理体系文件的非有效版本应有明确标识和有效版本进行区分。</w:t>
      </w:r>
    </w:p>
    <w:p>
      <w:pPr>
        <w:pStyle w:val="41"/>
        <w:spacing w:before="312" w:after="312"/>
      </w:pPr>
      <w:bookmarkStart w:id="168" w:name="_Toc47203374"/>
      <w:bookmarkStart w:id="169" w:name="_Toc50063578"/>
      <w:bookmarkStart w:id="170" w:name="_Toc50195229"/>
      <w:bookmarkStart w:id="171" w:name="_Toc50241667"/>
      <w:bookmarkStart w:id="172" w:name="_Toc50281848"/>
      <w:r>
        <w:rPr>
          <w:rFonts w:hint="eastAsia"/>
        </w:rPr>
        <w:t>管理职责</w:t>
      </w:r>
      <w:bookmarkEnd w:id="166"/>
      <w:bookmarkEnd w:id="167"/>
      <w:bookmarkEnd w:id="168"/>
      <w:bookmarkEnd w:id="169"/>
      <w:bookmarkEnd w:id="170"/>
      <w:bookmarkEnd w:id="171"/>
      <w:bookmarkEnd w:id="172"/>
    </w:p>
    <w:p>
      <w:pPr>
        <w:pStyle w:val="38"/>
        <w:spacing w:before="156" w:after="156"/>
      </w:pPr>
      <w:bookmarkStart w:id="173" w:name="_Toc20485768"/>
      <w:bookmarkStart w:id="174" w:name="_Toc20485838"/>
      <w:bookmarkStart w:id="175" w:name="_Toc47203375"/>
      <w:bookmarkStart w:id="176" w:name="_Toc50063579"/>
      <w:bookmarkStart w:id="177" w:name="_Toc50195230"/>
      <w:bookmarkStart w:id="178" w:name="_Toc50241668"/>
      <w:bookmarkStart w:id="179" w:name="_Toc50281849"/>
      <w:r>
        <w:rPr>
          <w:rFonts w:hint="eastAsia"/>
        </w:rPr>
        <w:t>安全与应急管理机制</w:t>
      </w:r>
      <w:bookmarkEnd w:id="173"/>
      <w:bookmarkEnd w:id="174"/>
      <w:bookmarkEnd w:id="175"/>
      <w:bookmarkEnd w:id="176"/>
      <w:bookmarkEnd w:id="177"/>
      <w:bookmarkEnd w:id="178"/>
      <w:bookmarkEnd w:id="179"/>
    </w:p>
    <w:p>
      <w:pPr>
        <w:pStyle w:val="42"/>
        <w:spacing w:before="156" w:after="156"/>
      </w:pPr>
      <w:bookmarkStart w:id="180" w:name="_Toc20485769"/>
      <w:r>
        <w:rPr>
          <w:rFonts w:hint="eastAsia"/>
        </w:rPr>
        <w:t>建立安全与应急管理工作机制</w:t>
      </w:r>
      <w:bookmarkEnd w:id="180"/>
    </w:p>
    <w:p>
      <w:pPr>
        <w:pStyle w:val="21"/>
      </w:pPr>
      <w:r>
        <w:rPr>
          <w:rFonts w:hint="eastAsia"/>
        </w:rPr>
        <w:t>幼儿园应构建安全与应急管理工作机制，不断提升幼儿园安全与应急管理工作水平，保障幼儿园安全也应急管理工作规范、有序。</w:t>
      </w:r>
    </w:p>
    <w:p>
      <w:pPr>
        <w:pStyle w:val="42"/>
        <w:spacing w:before="156" w:after="156"/>
      </w:pPr>
      <w:bookmarkStart w:id="181" w:name="_Toc20485770"/>
      <w:r>
        <w:rPr>
          <w:rFonts w:hint="eastAsia"/>
        </w:rPr>
        <w:t>建立安全预警机制与应急预案</w:t>
      </w:r>
      <w:bookmarkEnd w:id="181"/>
    </w:p>
    <w:p>
      <w:pPr>
        <w:pStyle w:val="21"/>
      </w:pPr>
      <w:r>
        <w:rPr>
          <w:rFonts w:hint="eastAsia"/>
        </w:rPr>
        <w:t>幼儿园应健全治安、消防、交通安全预警机制，制定突发事件应急预案，及时排除安全隐患，完善安全事故预防和处置措施。</w:t>
      </w:r>
    </w:p>
    <w:p>
      <w:pPr>
        <w:pStyle w:val="42"/>
        <w:spacing w:before="156" w:after="156"/>
      </w:pPr>
      <w:bookmarkStart w:id="182" w:name="_Toc20485771"/>
      <w:r>
        <w:rPr>
          <w:rFonts w:hint="eastAsia"/>
        </w:rPr>
        <w:t>建立安全管理宣传、教育和培训机制</w:t>
      </w:r>
      <w:bookmarkEnd w:id="182"/>
    </w:p>
    <w:p>
      <w:pPr>
        <w:pStyle w:val="21"/>
      </w:pPr>
      <w:r>
        <w:rPr>
          <w:rFonts w:hint="eastAsia"/>
        </w:rPr>
        <w:t>幼儿园应落实安全管理的宣传教育培训职责，加强安全知识教育培训，提高幼儿园教师、学生“识险避险，自救互救”安全意识和防护能力。</w:t>
      </w:r>
    </w:p>
    <w:p>
      <w:pPr>
        <w:pStyle w:val="38"/>
        <w:spacing w:before="156" w:after="156"/>
      </w:pPr>
      <w:bookmarkStart w:id="183" w:name="_Toc20485773"/>
      <w:bookmarkStart w:id="184" w:name="_Toc20485839"/>
      <w:bookmarkStart w:id="185" w:name="_Toc47203376"/>
      <w:bookmarkStart w:id="186" w:name="_Toc50063580"/>
      <w:bookmarkStart w:id="187" w:name="_Toc50195231"/>
      <w:bookmarkStart w:id="188" w:name="_Toc50241669"/>
      <w:bookmarkStart w:id="189" w:name="_Toc50281850"/>
      <w:r>
        <w:rPr>
          <w:rFonts w:hint="eastAsia"/>
        </w:rPr>
        <w:t>安全防范管理</w:t>
      </w:r>
      <w:bookmarkEnd w:id="183"/>
      <w:bookmarkEnd w:id="184"/>
      <w:bookmarkEnd w:id="185"/>
      <w:bookmarkEnd w:id="186"/>
      <w:r>
        <w:rPr>
          <w:rFonts w:hint="eastAsia"/>
        </w:rPr>
        <w:t>要求</w:t>
      </w:r>
      <w:bookmarkEnd w:id="187"/>
      <w:bookmarkEnd w:id="188"/>
      <w:bookmarkEnd w:id="189"/>
    </w:p>
    <w:p>
      <w:pPr>
        <w:pStyle w:val="42"/>
        <w:spacing w:before="156" w:after="156"/>
      </w:pPr>
      <w:r>
        <w:rPr>
          <w:rFonts w:hint="eastAsia"/>
        </w:rPr>
        <w:t>安全与应急管理责任人</w:t>
      </w:r>
    </w:p>
    <w:p>
      <w:pPr>
        <w:pStyle w:val="109"/>
      </w:pPr>
      <w:r>
        <w:rPr>
          <w:rFonts w:hint="eastAsia"/>
        </w:rPr>
        <w:t>幼儿园应当建立安全与应急工作领导机构，实行园长负责制，安全与应急管理责任人应为园长。</w:t>
      </w:r>
    </w:p>
    <w:p>
      <w:pPr>
        <w:pStyle w:val="109"/>
      </w:pPr>
      <w:r>
        <w:rPr>
          <w:rFonts w:hint="eastAsia"/>
        </w:rPr>
        <w:t>幼儿园安全与应急管理责任人应经国家法定机构培训，取得相应资质。</w:t>
      </w:r>
    </w:p>
    <w:p>
      <w:pPr>
        <w:pStyle w:val="109"/>
      </w:pPr>
      <w:r>
        <w:rPr>
          <w:rFonts w:hint="eastAsia"/>
        </w:rPr>
        <w:t>安全防范管理责任人工作职责应包括：</w:t>
      </w:r>
    </w:p>
    <w:p>
      <w:pPr>
        <w:pStyle w:val="55"/>
        <w:numPr>
          <w:ilvl w:val="0"/>
          <w:numId w:val="18"/>
        </w:numPr>
      </w:pPr>
      <w:r>
        <w:rPr>
          <w:rFonts w:hint="eastAsia"/>
        </w:rPr>
        <w:t>幼儿园各相关职能部门应按照安全防范管理方针，明确安全防范管理目标和考核要求；</w:t>
      </w:r>
    </w:p>
    <w:p>
      <w:pPr>
        <w:pStyle w:val="55"/>
        <w:numPr>
          <w:ilvl w:val="0"/>
          <w:numId w:val="18"/>
        </w:numPr>
      </w:pPr>
      <w:r>
        <w:rPr>
          <w:rFonts w:hint="eastAsia"/>
        </w:rPr>
        <w:t>应确保国家和自治区有关安全防范管理的法律、法规、标准、政府机构安全防范管理文件要求在幼儿园内得到贯彻实施；</w:t>
      </w:r>
    </w:p>
    <w:p>
      <w:pPr>
        <w:pStyle w:val="55"/>
        <w:numPr>
          <w:ilvl w:val="0"/>
          <w:numId w:val="18"/>
        </w:numPr>
      </w:pPr>
      <w:r>
        <w:rPr>
          <w:rFonts w:hint="eastAsia"/>
        </w:rPr>
        <w:t>应负责安全防范管理手册的批准；</w:t>
      </w:r>
    </w:p>
    <w:p>
      <w:pPr>
        <w:pStyle w:val="55"/>
        <w:numPr>
          <w:ilvl w:val="0"/>
          <w:numId w:val="18"/>
        </w:numPr>
      </w:pPr>
      <w:r>
        <w:rPr>
          <w:rFonts w:hint="eastAsia"/>
        </w:rPr>
        <w:t>应明确幼儿园内各部门安全防范管理的职责、权限；</w:t>
      </w:r>
    </w:p>
    <w:p>
      <w:pPr>
        <w:pStyle w:val="55"/>
        <w:numPr>
          <w:ilvl w:val="0"/>
          <w:numId w:val="18"/>
        </w:numPr>
      </w:pPr>
      <w:r>
        <w:rPr>
          <w:rFonts w:hint="eastAsia"/>
        </w:rPr>
        <w:t>应为幼儿园安全管理体系的运行和维护提供必要的资源。</w:t>
      </w:r>
    </w:p>
    <w:p>
      <w:pPr>
        <w:pStyle w:val="42"/>
        <w:spacing w:before="156" w:after="156"/>
      </w:pPr>
      <w:bookmarkStart w:id="190" w:name="_Toc20485774"/>
      <w:r>
        <w:rPr>
          <w:rFonts w:hint="eastAsia"/>
        </w:rPr>
        <w:t>安全保卫机构</w:t>
      </w:r>
      <w:bookmarkEnd w:id="190"/>
    </w:p>
    <w:p>
      <w:pPr>
        <w:pStyle w:val="109"/>
      </w:pPr>
      <w:r>
        <w:rPr>
          <w:rFonts w:hint="eastAsia"/>
        </w:rPr>
        <w:t>幼儿园应设立与幼儿园性质、规模、所在区域环境相适应的安全保卫机构，应至少配备1名专职安全保卫人员。</w:t>
      </w:r>
    </w:p>
    <w:p>
      <w:pPr>
        <w:pStyle w:val="109"/>
      </w:pPr>
      <w:r>
        <w:rPr>
          <w:rFonts w:hint="eastAsia"/>
        </w:rPr>
        <w:t>安全保卫机构的职责应包括：</w:t>
      </w:r>
    </w:p>
    <w:p>
      <w:pPr>
        <w:pStyle w:val="55"/>
        <w:numPr>
          <w:ilvl w:val="0"/>
          <w:numId w:val="19"/>
        </w:numPr>
      </w:pPr>
      <w:r>
        <w:rPr>
          <w:rFonts w:hint="eastAsia"/>
        </w:rPr>
        <w:t>应制定、检查、评估幼儿园安全防范管理各项工作计划和实施情况，提出改进和预防的措施；</w:t>
      </w:r>
    </w:p>
    <w:p>
      <w:pPr>
        <w:pStyle w:val="55"/>
        <w:numPr>
          <w:ilvl w:val="0"/>
          <w:numId w:val="19"/>
        </w:numPr>
      </w:pPr>
      <w:r>
        <w:rPr>
          <w:rFonts w:hint="eastAsia"/>
        </w:rPr>
        <w:t>应建立和执行园区安全防范管理制度，及时制止发生在园区内和校门口的违法犯罪行为，对制止无效的违法犯罪行为立即报警，同时采取措施保护现场；</w:t>
      </w:r>
    </w:p>
    <w:p>
      <w:pPr>
        <w:pStyle w:val="55"/>
        <w:numPr>
          <w:ilvl w:val="0"/>
          <w:numId w:val="19"/>
        </w:numPr>
      </w:pPr>
      <w:r>
        <w:rPr>
          <w:rFonts w:hint="eastAsia"/>
        </w:rPr>
        <w:t>应在幼儿园门口建立防冲撞设施，以及园区周界防护，保证幼儿进出园以及在园期间的安全。</w:t>
      </w:r>
    </w:p>
    <w:p>
      <w:pPr>
        <w:pStyle w:val="55"/>
        <w:numPr>
          <w:ilvl w:val="0"/>
          <w:numId w:val="19"/>
        </w:numPr>
      </w:pPr>
      <w:r>
        <w:rPr>
          <w:rFonts w:hint="eastAsia"/>
        </w:rPr>
        <w:t>应按照4.3.2的规定，建立安全防范管理工作档案，记录日常安全工作、安全责任落实、安全检查、安全隐患消除等情况，并将这些记录连续保存3年；</w:t>
      </w:r>
    </w:p>
    <w:p>
      <w:pPr>
        <w:pStyle w:val="55"/>
        <w:numPr>
          <w:ilvl w:val="0"/>
          <w:numId w:val="19"/>
        </w:numPr>
      </w:pPr>
      <w:r>
        <w:rPr>
          <w:rFonts w:hint="eastAsia"/>
        </w:rPr>
        <w:t>应组织并完成对安全保卫人员的考察、评估、录用、岗位培训等；</w:t>
      </w:r>
    </w:p>
    <w:p>
      <w:pPr>
        <w:pStyle w:val="55"/>
        <w:numPr>
          <w:ilvl w:val="0"/>
          <w:numId w:val="19"/>
        </w:numPr>
      </w:pPr>
      <w:r>
        <w:rPr>
          <w:rFonts w:hint="eastAsia"/>
        </w:rPr>
        <w:t>为安全保卫人员配备符合标准的安全保卫设备，并定期检查安全保卫设备，如有损坏，及时更换。</w:t>
      </w:r>
    </w:p>
    <w:p>
      <w:pPr>
        <w:pStyle w:val="42"/>
        <w:spacing w:before="156" w:after="156"/>
      </w:pPr>
      <w:r>
        <w:rPr>
          <w:rFonts w:hint="eastAsia"/>
        </w:rPr>
        <w:t>安全保卫人员</w:t>
      </w:r>
    </w:p>
    <w:p>
      <w:pPr>
        <w:pStyle w:val="21"/>
      </w:pPr>
      <w:r>
        <w:rPr>
          <w:rFonts w:hint="eastAsia"/>
        </w:rPr>
        <w:t>安全保卫人员应符合以下规定：</w:t>
      </w:r>
    </w:p>
    <w:p>
      <w:pPr>
        <w:pStyle w:val="55"/>
        <w:numPr>
          <w:ilvl w:val="0"/>
          <w:numId w:val="20"/>
        </w:numPr>
      </w:pPr>
      <w:r>
        <w:rPr>
          <w:rFonts w:hint="eastAsia"/>
        </w:rPr>
        <w:t>应具备任职所需的专业知识、业务工作经验和体能，并参加过专业培训；</w:t>
      </w:r>
    </w:p>
    <w:p>
      <w:pPr>
        <w:pStyle w:val="55"/>
        <w:numPr>
          <w:ilvl w:val="0"/>
          <w:numId w:val="20"/>
        </w:numPr>
      </w:pPr>
      <w:r>
        <w:rPr>
          <w:rFonts w:hint="eastAsia"/>
        </w:rPr>
        <w:t>安保人员应无违法犯罪记录，每年定期参加体检，并取得健康合格证。</w:t>
      </w:r>
    </w:p>
    <w:p>
      <w:pPr>
        <w:pStyle w:val="55"/>
        <w:numPr>
          <w:ilvl w:val="0"/>
          <w:numId w:val="19"/>
        </w:numPr>
      </w:pPr>
      <w:r>
        <w:rPr>
          <w:rFonts w:hint="eastAsia"/>
        </w:rPr>
        <w:t>应熟悉幼儿园的组织机构、建筑结构和环境；</w:t>
      </w:r>
    </w:p>
    <w:p>
      <w:pPr>
        <w:pStyle w:val="55"/>
        <w:numPr>
          <w:ilvl w:val="0"/>
          <w:numId w:val="19"/>
        </w:numPr>
      </w:pPr>
      <w:r>
        <w:rPr>
          <w:rFonts w:hint="eastAsia"/>
        </w:rPr>
        <w:t>应着保安员规定的服装，佩带统一的标志上岗。</w:t>
      </w:r>
    </w:p>
    <w:p>
      <w:pPr>
        <w:pStyle w:val="42"/>
        <w:spacing w:before="156" w:after="156"/>
      </w:pPr>
      <w:r>
        <w:rPr>
          <w:rFonts w:hint="eastAsia"/>
        </w:rPr>
        <w:t>安全防范管理制度</w:t>
      </w:r>
    </w:p>
    <w:p>
      <w:pPr>
        <w:pStyle w:val="109"/>
      </w:pPr>
      <w:r>
        <w:rPr>
          <w:rFonts w:hint="eastAsia"/>
        </w:rPr>
        <w:t>幼儿园应建立幼儿园安全政策文件、安全管理文件的实施管理制度，由专人负责定期收集、整理、解读幼儿园安全管理相关的政策文件、标准文件，负责幼儿园相关的政策文件、标准文件在园内的贯彻落实，以及对于本园安全防范管理制度定期进行审查和修订。</w:t>
      </w:r>
    </w:p>
    <w:p>
      <w:pPr>
        <w:pStyle w:val="109"/>
      </w:pPr>
      <w:r>
        <w:rPr>
          <w:rFonts w:hint="eastAsia"/>
        </w:rPr>
        <w:t>幼儿园安全防范管理制度应包括：</w:t>
      </w:r>
    </w:p>
    <w:p>
      <w:pPr>
        <w:pStyle w:val="55"/>
        <w:numPr>
          <w:ilvl w:val="0"/>
          <w:numId w:val="21"/>
        </w:numPr>
      </w:pPr>
      <w:r>
        <w:rPr>
          <w:rFonts w:hint="eastAsia"/>
        </w:rPr>
        <w:t>应建立和执行巡逻守护、校外人员身份询问、有效证件登记验证、挂牌进校、车辆及物品出、入校检查登记等治安防范管理制度，禁止将非教学用易燃易爆物品、有毒物品、动物和管制器具等危险物品带入校园；</w:t>
      </w:r>
    </w:p>
    <w:p>
      <w:pPr>
        <w:pStyle w:val="55"/>
      </w:pPr>
      <w:r>
        <w:rPr>
          <w:rFonts w:hint="eastAsia"/>
        </w:rPr>
        <w:t>宜采用人脸识别、访客管理、物联感知等人工智能方式对进出幼儿园的人员进行审查登记，谨防陌生人进入园区内。</w:t>
      </w:r>
    </w:p>
    <w:p>
      <w:pPr>
        <w:pStyle w:val="55"/>
      </w:pPr>
      <w:r>
        <w:rPr>
          <w:rFonts w:hint="eastAsia"/>
        </w:rPr>
        <w:t>应建立并执行幼儿上学、放学接送交接制度。</w:t>
      </w:r>
    </w:p>
    <w:p>
      <w:pPr>
        <w:pStyle w:val="55"/>
      </w:pPr>
      <w:r>
        <w:rPr>
          <w:rFonts w:hint="eastAsia"/>
        </w:rPr>
        <w:t>应建立和执行学生非正常缺席或者擅自离校情况、学生身体和心理的异常状况、违反安全防范管理规定行为等关系学生安全的信息通报制度；</w:t>
      </w:r>
    </w:p>
    <w:p>
      <w:pPr>
        <w:pStyle w:val="55"/>
      </w:pPr>
      <w:r>
        <w:rPr>
          <w:rFonts w:hint="eastAsia"/>
        </w:rPr>
        <w:t>应建立和执行突发事件报告制度和内、外部沟通制度；</w:t>
      </w:r>
    </w:p>
    <w:p>
      <w:pPr>
        <w:pStyle w:val="55"/>
      </w:pPr>
      <w:r>
        <w:rPr>
          <w:rFonts w:hint="eastAsia"/>
        </w:rPr>
        <w:t>建设和运行安全技术防范系统，如在园区内安装与校园110联网一键式报警系统以及能够覆盖园区内重点区域的视频监控设备，并应建立和执行保障技防设施日常维护和有效使用的技术防范管理制度。</w:t>
      </w:r>
    </w:p>
    <w:p>
      <w:pPr>
        <w:pStyle w:val="55"/>
      </w:pPr>
      <w:r>
        <w:rPr>
          <w:rFonts w:hint="eastAsia"/>
        </w:rPr>
        <w:t>校园110联网一键式报警系统符合GB50394的相关要求，视频监控设备符合GB50395的要求。</w:t>
      </w:r>
    </w:p>
    <w:p>
      <w:pPr>
        <w:pStyle w:val="55"/>
      </w:pPr>
      <w:r>
        <w:rPr>
          <w:rFonts w:hint="eastAsia"/>
        </w:rPr>
        <w:t>安防监控系统有专人管理，视频记录应保存30天，并定期查看。</w:t>
      </w:r>
    </w:p>
    <w:p>
      <w:pPr>
        <w:pStyle w:val="55"/>
      </w:pPr>
      <w:r>
        <w:rPr>
          <w:rFonts w:hint="eastAsia"/>
        </w:rPr>
        <w:t>建立和执行消防安全制度；</w:t>
      </w:r>
    </w:p>
    <w:p>
      <w:pPr>
        <w:pStyle w:val="55"/>
      </w:pPr>
      <w:r>
        <w:rPr>
          <w:rFonts w:hint="eastAsia"/>
        </w:rPr>
        <w:t>当建立园内安全定期检查制度和危房报告制度，按照国家有关规定安排对幼儿园建筑物、构筑物、设备、设施进行安全检查、检验；发现存在安全隐患的，应当停止使用，及时维修或者更换；维修、更换前应当采取必要的防护措施或者设置警示标志。幼儿园无力解决或者无法排除的重大安全隐患，应当及时书面报告主管部门和其他相关部门。</w:t>
      </w:r>
    </w:p>
    <w:p>
      <w:pPr>
        <w:pStyle w:val="55"/>
      </w:pPr>
      <w:r>
        <w:rPr>
          <w:rFonts w:hint="eastAsia"/>
        </w:rPr>
        <w:t>建立并应落实消防安全制度和消防工作责任制，对于政府保障配备的消防设施和器材加强日常维护，保证其能够有效使用，并设置消防安全标志，保证疏散通道、安全出口和消防车通道畅通。</w:t>
      </w:r>
    </w:p>
    <w:p>
      <w:pPr>
        <w:pStyle w:val="55"/>
      </w:pPr>
      <w:r>
        <w:rPr>
          <w:rFonts w:hint="eastAsia"/>
        </w:rPr>
        <w:t>当建立用水、用电、用气等相关设施设备的安全管理制度，定期进行检查或者按照规定接受有关主管部门的定期检查，发现老化或者损毁的，及时进行维修或者更换。</w:t>
      </w:r>
    </w:p>
    <w:p>
      <w:pPr>
        <w:pStyle w:val="55"/>
      </w:pPr>
      <w:r>
        <w:rPr>
          <w:rFonts w:hint="eastAsia"/>
        </w:rPr>
        <w:t>幼儿园如提供餐食，应按照国家卫生及教育主管部门的相关管理制度执行，建立食堂物资定点采购和索证、登记制度与饭菜留验和记录制度，检查饮用水的卫生安全状况，保障师生饮食卫生安全。</w:t>
      </w:r>
    </w:p>
    <w:p>
      <w:pPr>
        <w:pStyle w:val="55"/>
      </w:pPr>
      <w:r>
        <w:rPr>
          <w:rFonts w:hint="eastAsia"/>
        </w:rPr>
        <w:t>如幼儿园使用校车，应建立和执行校车及驾驶员安全管理制度，驾驶员和车辆必须经公安部门认定和检验；</w:t>
      </w:r>
    </w:p>
    <w:p>
      <w:pPr>
        <w:pStyle w:val="55"/>
      </w:pPr>
      <w:r>
        <w:rPr>
          <w:rFonts w:hint="eastAsia"/>
        </w:rPr>
        <w:t>建立各事项安全责任制和应急预案。</w:t>
      </w:r>
    </w:p>
    <w:p>
      <w:pPr>
        <w:pStyle w:val="42"/>
        <w:spacing w:before="156" w:after="156"/>
      </w:pPr>
      <w:bookmarkStart w:id="191" w:name="_Toc20485776"/>
      <w:r>
        <w:rPr>
          <w:rFonts w:hint="eastAsia"/>
        </w:rPr>
        <w:t>其他部门责任（教师）</w:t>
      </w:r>
      <w:bookmarkEnd w:id="191"/>
    </w:p>
    <w:p>
      <w:pPr>
        <w:pStyle w:val="109"/>
      </w:pPr>
      <w:r>
        <w:rPr>
          <w:rFonts w:hint="eastAsia"/>
        </w:rPr>
        <w:t>幼儿园各部门应在安全管理手册规定的工作范围内协调、贯彻执行相关的安全管理岗位职责。</w:t>
      </w:r>
    </w:p>
    <w:p>
      <w:pPr>
        <w:pStyle w:val="109"/>
      </w:pPr>
      <w:r>
        <w:rPr>
          <w:rFonts w:hint="eastAsia"/>
        </w:rPr>
        <w:t>幼儿园各部门应尊重、理解和服从安全保卫机构的安全管理规定，并应对安全保卫机构职责范围内的工作予以配合和支持。</w:t>
      </w:r>
    </w:p>
    <w:p>
      <w:pPr>
        <w:pStyle w:val="109"/>
      </w:pPr>
      <w:r>
        <w:rPr>
          <w:rFonts w:hint="eastAsia"/>
        </w:rPr>
        <w:t>幼儿园教师应遵守职业道德规范、工作纪律和安全管理工作规定，不得侮辱、殴打、体罚或者变相体罚学生。</w:t>
      </w:r>
    </w:p>
    <w:p>
      <w:pPr>
        <w:pStyle w:val="109"/>
      </w:pPr>
      <w:r>
        <w:rPr>
          <w:rFonts w:hint="eastAsia"/>
        </w:rPr>
        <w:t>幼儿园教师发现幼儿违反安全防范管理规定且具有危险性的行为，应及时劝阻、告诫、制止，并应及时与幼儿监护人沟通。</w:t>
      </w:r>
    </w:p>
    <w:p>
      <w:pPr>
        <w:pStyle w:val="109"/>
      </w:pPr>
      <w:r>
        <w:rPr>
          <w:rFonts w:hint="eastAsia"/>
        </w:rPr>
        <w:t>幼儿园校教职工应当符合相应任职资格和条件要求。不应聘用因故意犯罪而受到刑事处罚、有精神病史等有可能妨碍安全与应急管理工作的人。</w:t>
      </w:r>
    </w:p>
    <w:p>
      <w:pPr>
        <w:pStyle w:val="38"/>
        <w:spacing w:before="156" w:after="156"/>
      </w:pPr>
      <w:bookmarkStart w:id="192" w:name="_Toc20485777"/>
      <w:bookmarkStart w:id="193" w:name="_Toc20485840"/>
      <w:bookmarkStart w:id="194" w:name="_Toc47203377"/>
      <w:bookmarkStart w:id="195" w:name="_Toc50063581"/>
      <w:bookmarkStart w:id="196" w:name="_Toc50195232"/>
      <w:bookmarkStart w:id="197" w:name="_Toc50241670"/>
      <w:bookmarkStart w:id="198" w:name="_Toc50281851"/>
      <w:r>
        <w:rPr>
          <w:rFonts w:hint="eastAsia"/>
        </w:rPr>
        <w:t>幼儿园安全防范管理工作程序</w:t>
      </w:r>
      <w:bookmarkEnd w:id="192"/>
      <w:bookmarkEnd w:id="193"/>
      <w:bookmarkEnd w:id="194"/>
      <w:bookmarkEnd w:id="195"/>
      <w:bookmarkEnd w:id="196"/>
      <w:bookmarkEnd w:id="197"/>
      <w:bookmarkEnd w:id="198"/>
    </w:p>
    <w:p>
      <w:pPr>
        <w:pStyle w:val="42"/>
        <w:spacing w:before="156" w:after="156"/>
      </w:pPr>
      <w:bookmarkStart w:id="199" w:name="_Toc20485778"/>
      <w:r>
        <w:t>安全防范管理计划的制定</w:t>
      </w:r>
      <w:bookmarkEnd w:id="199"/>
    </w:p>
    <w:p>
      <w:pPr>
        <w:pStyle w:val="109"/>
      </w:pPr>
      <w:r>
        <w:rPr>
          <w:rFonts w:hint="eastAsia"/>
        </w:rPr>
        <w:t>幼儿园各层面、各部门应按照4.2、4.3.1、5.1的要求制定安全与应急管理各项工作计划。</w:t>
      </w:r>
    </w:p>
    <w:p>
      <w:pPr>
        <w:pStyle w:val="109"/>
      </w:pPr>
      <w:r>
        <w:t>安全与应急管理工作计划应包括</w:t>
      </w:r>
      <w:r>
        <w:rPr>
          <w:rFonts w:hint="eastAsia"/>
        </w:rPr>
        <w:t>：</w:t>
      </w:r>
    </w:p>
    <w:p>
      <w:pPr>
        <w:pStyle w:val="55"/>
        <w:numPr>
          <w:ilvl w:val="0"/>
          <w:numId w:val="22"/>
        </w:numPr>
      </w:pPr>
      <w:r>
        <w:rPr>
          <w:rFonts w:hint="eastAsia"/>
        </w:rPr>
        <w:t>各学（年）期幼儿园安全与应急管理工作检查、考核计划；</w:t>
      </w:r>
    </w:p>
    <w:p>
      <w:pPr>
        <w:pStyle w:val="55"/>
        <w:numPr>
          <w:ilvl w:val="0"/>
          <w:numId w:val="22"/>
        </w:numPr>
      </w:pPr>
      <w:r>
        <w:rPr>
          <w:rFonts w:hint="eastAsia"/>
        </w:rPr>
        <w:t>各学期幼儿园的安全与应急管理宣传、教育、培训和演练计划；</w:t>
      </w:r>
    </w:p>
    <w:p>
      <w:pPr>
        <w:pStyle w:val="55"/>
        <w:numPr>
          <w:ilvl w:val="0"/>
          <w:numId w:val="22"/>
        </w:numPr>
      </w:pPr>
      <w:r>
        <w:rPr>
          <w:rFonts w:hint="eastAsia"/>
        </w:rPr>
        <w:t>突发事件应急处置预案。</w:t>
      </w:r>
    </w:p>
    <w:p>
      <w:pPr>
        <w:pStyle w:val="109"/>
      </w:pPr>
      <w:r>
        <w:rPr>
          <w:rFonts w:hint="eastAsia"/>
        </w:rPr>
        <w:t>安全与应急管理工作计划经幼儿园安全与应急管理责任人批准后执行。</w:t>
      </w:r>
    </w:p>
    <w:p>
      <w:pPr>
        <w:pStyle w:val="42"/>
        <w:spacing w:before="156" w:after="156"/>
      </w:pPr>
      <w:bookmarkStart w:id="200" w:name="_Toc20485779"/>
      <w:r>
        <w:rPr>
          <w:rFonts w:hint="eastAsia"/>
        </w:rPr>
        <w:t>安全管理工作的组织实施</w:t>
      </w:r>
      <w:bookmarkEnd w:id="200"/>
    </w:p>
    <w:p>
      <w:pPr>
        <w:pStyle w:val="109"/>
      </w:pPr>
      <w:r>
        <w:rPr>
          <w:rFonts w:hint="eastAsia"/>
        </w:rPr>
        <w:t>幼儿园各层面、各部门应按照经幼儿园安全防范管理责任人批准的安全管理工作计划组织实施各项安全管理工作。</w:t>
      </w:r>
    </w:p>
    <w:p>
      <w:pPr>
        <w:pStyle w:val="109"/>
      </w:pPr>
      <w:r>
        <w:rPr>
          <w:rFonts w:hint="eastAsia"/>
        </w:rPr>
        <w:t>主要应包括：</w:t>
      </w:r>
    </w:p>
    <w:p>
      <w:pPr>
        <w:pStyle w:val="55"/>
        <w:numPr>
          <w:ilvl w:val="0"/>
          <w:numId w:val="23"/>
        </w:numPr>
      </w:pPr>
      <w:r>
        <w:rPr>
          <w:rFonts w:hint="eastAsia"/>
        </w:rPr>
        <w:t>定期组织开展安全防范管理制度执行情况的检查；</w:t>
      </w:r>
    </w:p>
    <w:p>
      <w:pPr>
        <w:pStyle w:val="55"/>
        <w:numPr>
          <w:ilvl w:val="0"/>
          <w:numId w:val="23"/>
        </w:numPr>
      </w:pPr>
      <w:r>
        <w:rPr>
          <w:rFonts w:hint="eastAsia"/>
        </w:rPr>
        <w:t>组织开展设施、设备日常维护；</w:t>
      </w:r>
    </w:p>
    <w:p>
      <w:pPr>
        <w:pStyle w:val="55"/>
        <w:numPr>
          <w:ilvl w:val="0"/>
          <w:numId w:val="23"/>
        </w:numPr>
      </w:pPr>
      <w:r>
        <w:rPr>
          <w:rFonts w:hint="eastAsia"/>
        </w:rPr>
        <w:t>组织实施各类安全教育、培训和演练；</w:t>
      </w:r>
    </w:p>
    <w:p>
      <w:pPr>
        <w:pStyle w:val="55"/>
        <w:numPr>
          <w:ilvl w:val="0"/>
          <w:numId w:val="23"/>
        </w:numPr>
      </w:pPr>
      <w:r>
        <w:rPr>
          <w:rFonts w:hint="eastAsia"/>
        </w:rPr>
        <w:t>处置各类突发事件。</w:t>
      </w:r>
    </w:p>
    <w:p>
      <w:pPr>
        <w:pStyle w:val="109"/>
      </w:pPr>
      <w:r>
        <w:rPr>
          <w:rFonts w:hint="eastAsia"/>
        </w:rPr>
        <w:t>安全与应急管理工作的组织实施由安全与应急管理责任人协调幼儿园各部门进行。</w:t>
      </w:r>
    </w:p>
    <w:p>
      <w:pPr>
        <w:pStyle w:val="42"/>
        <w:spacing w:before="156" w:after="156"/>
      </w:pPr>
      <w:bookmarkStart w:id="201" w:name="_Toc20485780"/>
      <w:r>
        <w:rPr>
          <w:rFonts w:hint="eastAsia"/>
        </w:rPr>
        <w:t>安全与应急管理工作的内部评估</w:t>
      </w:r>
      <w:bookmarkEnd w:id="201"/>
    </w:p>
    <w:p>
      <w:pPr>
        <w:pStyle w:val="109"/>
      </w:pPr>
      <w:r>
        <w:rPr>
          <w:rFonts w:hint="eastAsia"/>
        </w:rPr>
        <w:t>应对各项安全管理工作实施过程及结果进行评估，完成评估报告，报幼儿园安全与应急管理责任人。</w:t>
      </w:r>
    </w:p>
    <w:p>
      <w:pPr>
        <w:pStyle w:val="109"/>
      </w:pPr>
      <w:r>
        <w:rPr>
          <w:rFonts w:hint="eastAsia"/>
        </w:rPr>
        <w:t>幼儿园安全与应急管理责任人应定期（每学期不少于1次）组织进行幼儿园安全防范评估，并形成文件。</w:t>
      </w:r>
    </w:p>
    <w:p>
      <w:pPr>
        <w:pStyle w:val="109"/>
      </w:pPr>
      <w:r>
        <w:rPr>
          <w:rFonts w:hint="eastAsia"/>
        </w:rPr>
        <w:t>评估应包括安全与应急管理目标的适宜性、安全与应急管理体系运行的有效性和改进要求。</w:t>
      </w:r>
    </w:p>
    <w:p>
      <w:pPr>
        <w:pStyle w:val="109"/>
      </w:pPr>
      <w:r>
        <w:rPr>
          <w:rFonts w:hint="eastAsia"/>
        </w:rPr>
        <w:t>幼儿园安全与应急管理工作内部评估的文件记录应保存3年。</w:t>
      </w:r>
    </w:p>
    <w:p>
      <w:pPr>
        <w:pStyle w:val="42"/>
        <w:spacing w:before="156" w:after="156"/>
      </w:pPr>
      <w:bookmarkStart w:id="202" w:name="_Toc20485781"/>
      <w:r>
        <w:rPr>
          <w:rFonts w:hint="eastAsia"/>
        </w:rPr>
        <w:t>安全与应急管理工作的改进</w:t>
      </w:r>
      <w:bookmarkEnd w:id="202"/>
    </w:p>
    <w:p>
      <w:pPr>
        <w:pStyle w:val="109"/>
      </w:pPr>
      <w:r>
        <w:rPr>
          <w:rFonts w:hint="eastAsia"/>
        </w:rPr>
        <w:t>幼儿园应对内部评估和检查监督中发现的安全隐患采取纠正和预防措施。</w:t>
      </w:r>
    </w:p>
    <w:p>
      <w:pPr>
        <w:pStyle w:val="109"/>
      </w:pPr>
      <w:r>
        <w:rPr>
          <w:rFonts w:hint="eastAsia"/>
        </w:rPr>
        <w:t>在幼儿园发生安全事故时，应按照应急预案的程序和要求进行处置。</w:t>
      </w:r>
    </w:p>
    <w:p>
      <w:pPr>
        <w:pStyle w:val="109"/>
      </w:pPr>
      <w:r>
        <w:rPr>
          <w:rFonts w:hint="eastAsia"/>
        </w:rPr>
        <w:t>安全事故现场处置完成后，应立即进行事故评估，查找事故发生的原因，对安全与应急管理体系中存在的缺陷采取纠正和预防措施。</w:t>
      </w:r>
    </w:p>
    <w:p>
      <w:pPr>
        <w:pStyle w:val="109"/>
      </w:pPr>
      <w:r>
        <w:rPr>
          <w:rFonts w:hint="eastAsia"/>
        </w:rPr>
        <w:t>缺陷纠正和采取预防措施形成的文件记录应保存3年。</w:t>
      </w:r>
    </w:p>
    <w:p>
      <w:pPr>
        <w:pStyle w:val="41"/>
        <w:spacing w:before="312" w:after="312"/>
      </w:pPr>
      <w:bookmarkStart w:id="203" w:name="_Toc50281852"/>
      <w:bookmarkStart w:id="204" w:name="_Toc50195233"/>
      <w:bookmarkStart w:id="205" w:name="_Toc50241671"/>
      <w:r>
        <w:rPr>
          <w:rFonts w:hint="eastAsia"/>
        </w:rPr>
        <w:t>环境安全要求</w:t>
      </w:r>
      <w:bookmarkEnd w:id="203"/>
      <w:bookmarkEnd w:id="204"/>
      <w:bookmarkEnd w:id="205"/>
    </w:p>
    <w:p>
      <w:pPr>
        <w:pStyle w:val="38"/>
        <w:spacing w:before="156" w:after="156"/>
      </w:pPr>
      <w:bookmarkStart w:id="206" w:name="_Toc20485804"/>
      <w:bookmarkStart w:id="207" w:name="_Toc20485862"/>
      <w:bookmarkStart w:id="208" w:name="_Toc47203399"/>
      <w:bookmarkStart w:id="209" w:name="_Toc50063583"/>
      <w:bookmarkStart w:id="210" w:name="_Toc50195234"/>
      <w:bookmarkStart w:id="211" w:name="_Toc50241672"/>
      <w:bookmarkStart w:id="212" w:name="_Toc50281853"/>
      <w:r>
        <w:rPr>
          <w:rFonts w:hint="eastAsia"/>
        </w:rPr>
        <w:t>新建园区的选址</w:t>
      </w:r>
      <w:bookmarkEnd w:id="206"/>
      <w:bookmarkEnd w:id="207"/>
      <w:bookmarkEnd w:id="208"/>
      <w:bookmarkEnd w:id="209"/>
      <w:bookmarkEnd w:id="210"/>
      <w:bookmarkEnd w:id="211"/>
      <w:bookmarkEnd w:id="212"/>
    </w:p>
    <w:p>
      <w:pPr>
        <w:pStyle w:val="59"/>
        <w:ind w:left="0"/>
      </w:pPr>
      <w:r>
        <w:rPr>
          <w:rFonts w:hint="eastAsia"/>
        </w:rPr>
        <w:t>幼儿园必须设置在安全区域内。应选在地质条件较好、环境适宜、交通方便、场地平整、排水通畅、日照充足、空气流通、公用配套设施较为完善、远离各种污染源的地段。</w:t>
      </w:r>
    </w:p>
    <w:p>
      <w:pPr>
        <w:pStyle w:val="59"/>
        <w:ind w:left="0"/>
      </w:pPr>
      <w:r>
        <w:rPr>
          <w:rFonts w:hint="eastAsia"/>
        </w:rPr>
        <w:t>幼儿园应独立设置。应有围墙(或安全隔离措施)、大门与传达(警卫)室。</w:t>
      </w:r>
    </w:p>
    <w:p>
      <w:pPr>
        <w:pStyle w:val="59"/>
        <w:ind w:left="0"/>
      </w:pPr>
      <w:r>
        <w:rPr>
          <w:rFonts w:hint="eastAsia"/>
        </w:rPr>
        <w:t>建新园区的区域应方便校车停放。</w:t>
      </w:r>
    </w:p>
    <w:p>
      <w:pPr>
        <w:pStyle w:val="59"/>
        <w:ind w:left="0"/>
      </w:pPr>
      <w:r>
        <w:rPr>
          <w:rFonts w:hint="eastAsia"/>
        </w:rPr>
        <w:t>建新园区的区域道路交通回旋余地应宽阔，适合治安、消防、交通等安全防范管理。</w:t>
      </w:r>
    </w:p>
    <w:p>
      <w:pPr>
        <w:pStyle w:val="59"/>
        <w:ind w:left="0"/>
      </w:pPr>
      <w:r>
        <w:rPr>
          <w:rFonts w:hint="eastAsia"/>
        </w:rPr>
        <w:t>园区选址应避免被铁路、重要公路、通航河道、高压输电线、输油管线和输气管线所穿越。</w:t>
      </w:r>
    </w:p>
    <w:p>
      <w:pPr>
        <w:pStyle w:val="59"/>
        <w:ind w:left="0"/>
      </w:pPr>
      <w:r>
        <w:rPr>
          <w:rFonts w:hint="eastAsia"/>
        </w:rPr>
        <w:t>建新园区应避开地震危险地段、泥石流易发地段、滑坡体、悬崖边及崖底、风口、河道、洪水沟口、输气管道、交通干道、高层建筑的阴影区及高压输变电线路、加油(气)站等。</w:t>
      </w:r>
    </w:p>
    <w:p>
      <w:pPr>
        <w:pStyle w:val="59"/>
        <w:ind w:left="0"/>
      </w:pPr>
      <w:r>
        <w:rPr>
          <w:rFonts w:hint="eastAsia"/>
        </w:rPr>
        <w:t>建新园区不应与不利于儿童身心健康成长和危及儿童安全的场所毗邻,包括：集贸市场、娱乐场所、医院传染病房、太平间、殡仪馆、垃圾场及污水处理站、公安看守所、生产（经营和贮藏）有毒有害危险品、易燃易爆物品的场所、通讯发射塔（台）等。</w:t>
      </w:r>
    </w:p>
    <w:p>
      <w:pPr>
        <w:pStyle w:val="38"/>
        <w:spacing w:before="156" w:after="156"/>
      </w:pPr>
      <w:bookmarkStart w:id="213" w:name="_Toc20485805"/>
      <w:bookmarkStart w:id="214" w:name="_Toc20485863"/>
      <w:bookmarkStart w:id="215" w:name="_Toc47203400"/>
      <w:bookmarkStart w:id="216" w:name="_Toc50063584"/>
      <w:bookmarkStart w:id="217" w:name="_Toc50195235"/>
      <w:bookmarkStart w:id="218" w:name="_Toc50241673"/>
      <w:bookmarkStart w:id="219" w:name="_Toc50281854"/>
      <w:r>
        <w:rPr>
          <w:rFonts w:hint="eastAsia"/>
        </w:rPr>
        <w:t>幼儿园区周边治安防范管理要求</w:t>
      </w:r>
      <w:bookmarkEnd w:id="213"/>
      <w:bookmarkEnd w:id="214"/>
      <w:bookmarkEnd w:id="215"/>
      <w:bookmarkEnd w:id="216"/>
      <w:bookmarkEnd w:id="217"/>
      <w:bookmarkEnd w:id="218"/>
      <w:bookmarkEnd w:id="219"/>
    </w:p>
    <w:p>
      <w:pPr>
        <w:pStyle w:val="59"/>
        <w:ind w:left="0"/>
      </w:pPr>
      <w:bookmarkStart w:id="220" w:name="_Toc20485806"/>
      <w:bookmarkStart w:id="221" w:name="_Toc20485864"/>
      <w:r>
        <w:rPr>
          <w:rFonts w:hint="eastAsia"/>
        </w:rPr>
        <w:t>幼儿园应根据周边治安状况，制定和调整安全防范管理工作方案。</w:t>
      </w:r>
    </w:p>
    <w:p>
      <w:pPr>
        <w:pStyle w:val="59"/>
        <w:ind w:left="0"/>
      </w:pPr>
      <w:r>
        <w:rPr>
          <w:rFonts w:hint="eastAsia"/>
        </w:rPr>
        <w:t>幼儿园应与政府相关部门建立稳定的组织架构和联系方式，依法维护幼儿园区周边安全防范秩序。</w:t>
      </w:r>
    </w:p>
    <w:p>
      <w:pPr>
        <w:pStyle w:val="59"/>
        <w:ind w:left="0"/>
      </w:pPr>
      <w:r>
        <w:rPr>
          <w:rFonts w:hint="eastAsia"/>
        </w:rPr>
        <w:t>幼儿园区周边区域被公安机关确定为治安情况复杂地区的，幼儿园可要求公安机关增设治安岗亭和报警点。</w:t>
      </w:r>
    </w:p>
    <w:p>
      <w:pPr>
        <w:pStyle w:val="38"/>
        <w:spacing w:before="156" w:after="156"/>
      </w:pPr>
      <w:bookmarkStart w:id="222" w:name="_Toc47203401"/>
      <w:bookmarkStart w:id="223" w:name="_Toc50063585"/>
      <w:bookmarkStart w:id="224" w:name="_Toc50195236"/>
      <w:bookmarkStart w:id="225" w:name="_Toc50241674"/>
      <w:bookmarkStart w:id="226" w:name="_Toc50281855"/>
      <w:r>
        <w:rPr>
          <w:rFonts w:hint="eastAsia"/>
        </w:rPr>
        <w:t>消防安全防范要求</w:t>
      </w:r>
      <w:bookmarkEnd w:id="220"/>
      <w:bookmarkEnd w:id="221"/>
      <w:bookmarkEnd w:id="222"/>
      <w:bookmarkEnd w:id="223"/>
      <w:bookmarkEnd w:id="224"/>
      <w:bookmarkEnd w:id="225"/>
      <w:bookmarkEnd w:id="226"/>
    </w:p>
    <w:p>
      <w:pPr>
        <w:pStyle w:val="59"/>
        <w:ind w:left="0"/>
      </w:pPr>
      <w:bookmarkStart w:id="227" w:name="_Toc20485807"/>
      <w:bookmarkStart w:id="228" w:name="_Toc20485865"/>
      <w:r>
        <w:rPr>
          <w:rFonts w:hint="eastAsia"/>
        </w:rPr>
        <w:t>幼儿园的建筑应符合GB 50016规定的要求。</w:t>
      </w:r>
    </w:p>
    <w:p>
      <w:pPr>
        <w:pStyle w:val="59"/>
        <w:ind w:left="0"/>
      </w:pPr>
      <w:r>
        <w:rPr>
          <w:rFonts w:hint="eastAsia"/>
        </w:rPr>
        <w:t>幼儿园应配备符合国家的相关技术标准要求的消防设施。</w:t>
      </w:r>
    </w:p>
    <w:p>
      <w:pPr>
        <w:pStyle w:val="59"/>
        <w:ind w:left="0"/>
      </w:pPr>
      <w:r>
        <w:rPr>
          <w:rFonts w:hint="eastAsia"/>
        </w:rPr>
        <w:t>幼儿园相关负责人应定期检查消防设备，对于出现安全隐患的消防设备应及时更换。</w:t>
      </w:r>
    </w:p>
    <w:p>
      <w:pPr>
        <w:pStyle w:val="38"/>
        <w:spacing w:before="156" w:after="156"/>
      </w:pPr>
      <w:bookmarkStart w:id="229" w:name="_Toc47203402"/>
      <w:bookmarkStart w:id="230" w:name="_Toc50063586"/>
      <w:bookmarkStart w:id="231" w:name="_Toc50195237"/>
      <w:bookmarkStart w:id="232" w:name="_Toc50241675"/>
      <w:bookmarkStart w:id="233" w:name="_Toc50281856"/>
      <w:r>
        <w:rPr>
          <w:rFonts w:hint="eastAsia"/>
        </w:rPr>
        <w:t>交通安全防范要求</w:t>
      </w:r>
      <w:bookmarkEnd w:id="227"/>
      <w:bookmarkEnd w:id="228"/>
      <w:bookmarkEnd w:id="229"/>
      <w:bookmarkEnd w:id="230"/>
      <w:bookmarkEnd w:id="231"/>
      <w:bookmarkEnd w:id="232"/>
      <w:bookmarkEnd w:id="233"/>
    </w:p>
    <w:p>
      <w:pPr>
        <w:pStyle w:val="42"/>
        <w:spacing w:before="156" w:after="156"/>
      </w:pPr>
      <w:bookmarkStart w:id="234" w:name="_Toc20485808"/>
      <w:r>
        <w:rPr>
          <w:rFonts w:hint="eastAsia"/>
        </w:rPr>
        <w:t>校园交通安全管理</w:t>
      </w:r>
      <w:bookmarkEnd w:id="234"/>
    </w:p>
    <w:p>
      <w:pPr>
        <w:pStyle w:val="109"/>
      </w:pPr>
      <w:bookmarkStart w:id="235" w:name="_Toc20485809"/>
      <w:r>
        <w:rPr>
          <w:rFonts w:hint="eastAsia"/>
        </w:rPr>
        <w:t>幼儿园应禁止机动车驶入园区内。</w:t>
      </w:r>
    </w:p>
    <w:p>
      <w:pPr>
        <w:pStyle w:val="109"/>
      </w:pPr>
      <w:r>
        <w:rPr>
          <w:rFonts w:hint="eastAsia"/>
        </w:rPr>
        <w:t>幼儿园内不应出租场地停放校外车辆。</w:t>
      </w:r>
    </w:p>
    <w:p>
      <w:pPr>
        <w:pStyle w:val="109"/>
      </w:pPr>
      <w:r>
        <w:rPr>
          <w:rFonts w:hint="eastAsia"/>
        </w:rPr>
        <w:t>自行车如果需驶入园内，应当停放在指定的区域。</w:t>
      </w:r>
    </w:p>
    <w:p>
      <w:pPr>
        <w:pStyle w:val="42"/>
        <w:spacing w:before="156" w:after="156"/>
      </w:pPr>
      <w:r>
        <w:rPr>
          <w:rFonts w:hint="eastAsia"/>
        </w:rPr>
        <w:t>校车</w:t>
      </w:r>
      <w:bookmarkEnd w:id="235"/>
      <w:r>
        <w:rPr>
          <w:rFonts w:hint="eastAsia"/>
        </w:rPr>
        <w:t>安全管理</w:t>
      </w:r>
    </w:p>
    <w:p>
      <w:pPr>
        <w:pStyle w:val="109"/>
      </w:pPr>
      <w:r>
        <w:rPr>
          <w:rFonts w:hint="eastAsia"/>
        </w:rPr>
        <w:t>使用校车的幼儿园应当采购符合</w:t>
      </w:r>
      <w:r>
        <w:t>GB 24407、GB 24406技术要求的校车；</w:t>
      </w:r>
    </w:p>
    <w:p>
      <w:pPr>
        <w:pStyle w:val="109"/>
      </w:pPr>
      <w:r>
        <w:rPr>
          <w:rFonts w:hint="eastAsia"/>
        </w:rPr>
        <w:t>校车标识应符合</w:t>
      </w:r>
      <w:r>
        <w:t>GB 24315的规定；</w:t>
      </w:r>
    </w:p>
    <w:p>
      <w:pPr>
        <w:pStyle w:val="109"/>
      </w:pPr>
      <w:r>
        <w:rPr>
          <w:rFonts w:hint="eastAsia"/>
        </w:rPr>
        <w:t>校车车灯应符合</w:t>
      </w:r>
      <w:r>
        <w:t>GA/T 1004的规定；</w:t>
      </w:r>
    </w:p>
    <w:p>
      <w:pPr>
        <w:pStyle w:val="109"/>
      </w:pPr>
      <w:r>
        <w:rPr>
          <w:rFonts w:hint="eastAsia"/>
        </w:rPr>
        <w:t>校车应符合以下规定：</w:t>
      </w:r>
    </w:p>
    <w:p>
      <w:pPr>
        <w:pStyle w:val="55"/>
        <w:numPr>
          <w:ilvl w:val="0"/>
          <w:numId w:val="24"/>
        </w:numPr>
      </w:pPr>
      <w:r>
        <w:rPr>
          <w:rFonts w:hint="eastAsia"/>
        </w:rPr>
        <w:t>车辆技术状况良好，处于定期检验有效期内，且距强制报废标准年限一年以上；</w:t>
      </w:r>
    </w:p>
    <w:p>
      <w:pPr>
        <w:pStyle w:val="55"/>
        <w:numPr>
          <w:ilvl w:val="0"/>
          <w:numId w:val="18"/>
        </w:numPr>
      </w:pPr>
      <w:r>
        <w:rPr>
          <w:rFonts w:hint="eastAsia"/>
        </w:rPr>
        <w:t>在用校车每年增加一次安全技术临时检验；</w:t>
      </w:r>
    </w:p>
    <w:p>
      <w:pPr>
        <w:pStyle w:val="55"/>
        <w:numPr>
          <w:ilvl w:val="0"/>
          <w:numId w:val="18"/>
        </w:numPr>
      </w:pPr>
      <w:r>
        <w:rPr>
          <w:rFonts w:hint="eastAsia"/>
        </w:rPr>
        <w:t>有公安交通管理部门核发的校车标牌，且标志、标牌一车一套；</w:t>
      </w:r>
    </w:p>
    <w:p>
      <w:pPr>
        <w:pStyle w:val="55"/>
        <w:numPr>
          <w:ilvl w:val="0"/>
          <w:numId w:val="18"/>
        </w:numPr>
      </w:pPr>
      <w:r>
        <w:rPr>
          <w:rFonts w:hint="eastAsia"/>
        </w:rPr>
        <w:t>应在车前、后窗醒目处放置校车标牌；</w:t>
      </w:r>
    </w:p>
    <w:p>
      <w:pPr>
        <w:pStyle w:val="55"/>
        <w:numPr>
          <w:ilvl w:val="0"/>
          <w:numId w:val="18"/>
        </w:numPr>
      </w:pPr>
      <w:r>
        <w:rPr>
          <w:rFonts w:hint="eastAsia"/>
        </w:rPr>
        <w:t>每个座位均应安装安全带，安全带应符合GB 14166的规定，安全带固定点的强度应满足GB 14167中M2类车辆的要求；</w:t>
      </w:r>
    </w:p>
    <w:p>
      <w:pPr>
        <w:pStyle w:val="55"/>
        <w:numPr>
          <w:ilvl w:val="0"/>
          <w:numId w:val="18"/>
        </w:numPr>
      </w:pPr>
      <w:r>
        <w:rPr>
          <w:rFonts w:hint="eastAsia"/>
        </w:rPr>
        <w:t>校车应配备应急锤和车门应急开启装置；</w:t>
      </w:r>
    </w:p>
    <w:p>
      <w:pPr>
        <w:pStyle w:val="55"/>
        <w:numPr>
          <w:ilvl w:val="0"/>
          <w:numId w:val="18"/>
        </w:numPr>
      </w:pPr>
      <w:r>
        <w:rPr>
          <w:rFonts w:hint="eastAsia"/>
        </w:rPr>
        <w:t>校车载人不应超过核定的载客人数；</w:t>
      </w:r>
    </w:p>
    <w:p>
      <w:pPr>
        <w:pStyle w:val="55"/>
        <w:numPr>
          <w:ilvl w:val="0"/>
          <w:numId w:val="18"/>
        </w:numPr>
      </w:pPr>
      <w:r>
        <w:rPr>
          <w:rFonts w:hint="eastAsia"/>
        </w:rPr>
        <w:t>校车驾驶座同排座位不应乘坐学生；</w:t>
      </w:r>
    </w:p>
    <w:p>
      <w:pPr>
        <w:pStyle w:val="55"/>
        <w:numPr>
          <w:ilvl w:val="0"/>
          <w:numId w:val="18"/>
        </w:numPr>
      </w:pPr>
      <w:r>
        <w:rPr>
          <w:rFonts w:hint="eastAsia"/>
        </w:rPr>
        <w:t>校车宜安装视频监控系统和卫星定位系统；</w:t>
      </w:r>
    </w:p>
    <w:p>
      <w:pPr>
        <w:pStyle w:val="55"/>
        <w:numPr>
          <w:ilvl w:val="0"/>
          <w:numId w:val="18"/>
        </w:numPr>
      </w:pPr>
      <w:r>
        <w:rPr>
          <w:rFonts w:hint="eastAsia"/>
        </w:rPr>
        <w:t>自有校车应喷涂统一的校车颜色，在车身车门侧和后部粘贴校车标志，标志应符合</w:t>
      </w:r>
      <w:r>
        <w:t>GB 24315的要求</w:t>
      </w:r>
      <w:r>
        <w:rPr>
          <w:rFonts w:hint="eastAsia"/>
        </w:rPr>
        <w:t>；</w:t>
      </w:r>
    </w:p>
    <w:p>
      <w:pPr>
        <w:pStyle w:val="55"/>
        <w:numPr>
          <w:ilvl w:val="0"/>
          <w:numId w:val="18"/>
        </w:numPr>
      </w:pPr>
      <w:r>
        <w:rPr>
          <w:rFonts w:hint="eastAsia"/>
        </w:rPr>
        <w:t>幼儿园租用校车的，应选择具有专业客运资质的单位车辆。</w:t>
      </w:r>
    </w:p>
    <w:p>
      <w:pPr>
        <w:pStyle w:val="109"/>
      </w:pPr>
      <w:r>
        <w:rPr>
          <w:rFonts w:hint="eastAsia"/>
        </w:rPr>
        <w:t>校车驾驶人员应符合下列规定：</w:t>
      </w:r>
    </w:p>
    <w:p>
      <w:pPr>
        <w:pStyle w:val="55"/>
        <w:numPr>
          <w:ilvl w:val="0"/>
          <w:numId w:val="25"/>
        </w:numPr>
      </w:pPr>
      <w:r>
        <w:rPr>
          <w:rFonts w:hint="eastAsia"/>
        </w:rPr>
        <w:t>具有相应准驾车型的机动车驾驶证，已依法接受校车驾驶相关培训并取得主管部门颁发的合格证；</w:t>
      </w:r>
    </w:p>
    <w:p>
      <w:pPr>
        <w:pStyle w:val="55"/>
        <w:numPr>
          <w:ilvl w:val="0"/>
          <w:numId w:val="18"/>
        </w:numPr>
      </w:pPr>
      <w:r>
        <w:rPr>
          <w:rFonts w:hint="eastAsia"/>
        </w:rPr>
        <w:t>身心健康，工作责任心强、技术熟练、驾驶经验丰富；</w:t>
      </w:r>
    </w:p>
    <w:p>
      <w:pPr>
        <w:pStyle w:val="55"/>
        <w:numPr>
          <w:ilvl w:val="0"/>
          <w:numId w:val="18"/>
        </w:numPr>
      </w:pPr>
      <w:r>
        <w:rPr>
          <w:rFonts w:hint="eastAsia"/>
        </w:rPr>
        <w:t>有连续三年以上良好驾驶记录,未发生过负有责任的交通死亡事故,且最近三年任意一个记分周期内累积记分未满12分；</w:t>
      </w:r>
    </w:p>
    <w:p>
      <w:pPr>
        <w:pStyle w:val="55"/>
        <w:numPr>
          <w:ilvl w:val="0"/>
          <w:numId w:val="18"/>
        </w:numPr>
      </w:pPr>
      <w:r>
        <w:rPr>
          <w:rFonts w:hint="eastAsia"/>
        </w:rPr>
        <w:t>不应有故意犯罪被刑事处罚、劳动教养、收容教育、强制隔离戒毒、3次以上行政拘留、被开除公职、开除军籍等不良记录。</w:t>
      </w:r>
    </w:p>
    <w:p>
      <w:pPr>
        <w:pStyle w:val="109"/>
      </w:pPr>
      <w:bookmarkStart w:id="236" w:name="_Toc20485866"/>
      <w:bookmarkStart w:id="237" w:name="_Toc20485810"/>
      <w:r>
        <w:rPr>
          <w:rFonts w:hint="eastAsia"/>
        </w:rPr>
        <w:t>校车运载学生时，应按规定路线行驶。可在公交专用车道行驶，并可在确定的停靠点接送学生。</w:t>
      </w:r>
    </w:p>
    <w:p>
      <w:pPr>
        <w:pStyle w:val="109"/>
      </w:pPr>
      <w:r>
        <w:rPr>
          <w:rFonts w:hint="eastAsia"/>
        </w:rPr>
        <w:t>幼儿园应在每辆校车上安排至少一名随车管理人员，维护车内秩序和学生上下车时的安全。</w:t>
      </w:r>
    </w:p>
    <w:p>
      <w:pPr>
        <w:pStyle w:val="109"/>
      </w:pPr>
      <w:r>
        <w:rPr>
          <w:rFonts w:hint="eastAsia"/>
        </w:rPr>
        <w:t>幼儿园应要求需乘坐校车的学生监护人提出书面申请，并与学生监护人根据本文件的规定签订安全协议。</w:t>
      </w:r>
    </w:p>
    <w:p>
      <w:pPr>
        <w:pStyle w:val="109"/>
      </w:pPr>
      <w:r>
        <w:rPr>
          <w:rFonts w:hint="eastAsia"/>
        </w:rPr>
        <w:t>幼儿园自有校车应按照有关规定停放。</w:t>
      </w:r>
    </w:p>
    <w:bookmarkEnd w:id="236"/>
    <w:bookmarkEnd w:id="237"/>
    <w:p>
      <w:pPr>
        <w:pStyle w:val="41"/>
        <w:spacing w:before="312" w:after="312"/>
      </w:pPr>
      <w:bookmarkStart w:id="238" w:name="_Toc20485782"/>
      <w:bookmarkStart w:id="239" w:name="_Toc20485841"/>
      <w:bookmarkStart w:id="240" w:name="_Toc47203378"/>
      <w:bookmarkStart w:id="241" w:name="_Toc50063588"/>
      <w:bookmarkStart w:id="242" w:name="_Toc50195239"/>
      <w:bookmarkStart w:id="243" w:name="_Toc50241677"/>
      <w:bookmarkStart w:id="244" w:name="_Toc50281857"/>
      <w:r>
        <w:rPr>
          <w:rFonts w:hint="eastAsia"/>
        </w:rPr>
        <w:t>日常安全</w:t>
      </w:r>
      <w:bookmarkEnd w:id="238"/>
      <w:bookmarkEnd w:id="239"/>
      <w:bookmarkEnd w:id="240"/>
      <w:bookmarkEnd w:id="241"/>
      <w:bookmarkEnd w:id="242"/>
      <w:bookmarkEnd w:id="243"/>
      <w:r>
        <w:rPr>
          <w:rFonts w:hint="eastAsia"/>
        </w:rPr>
        <w:t>要求</w:t>
      </w:r>
      <w:bookmarkEnd w:id="244"/>
    </w:p>
    <w:p>
      <w:pPr>
        <w:pStyle w:val="38"/>
        <w:spacing w:before="156" w:after="156"/>
      </w:pPr>
      <w:bookmarkStart w:id="245" w:name="_Toc20485783"/>
      <w:bookmarkStart w:id="246" w:name="_Toc20485842"/>
      <w:bookmarkStart w:id="247" w:name="_Toc47203379"/>
      <w:bookmarkStart w:id="248" w:name="_Toc50063589"/>
      <w:bookmarkStart w:id="249" w:name="_Toc50195240"/>
      <w:bookmarkStart w:id="250" w:name="_Toc50241678"/>
      <w:bookmarkStart w:id="251" w:name="_Toc50281858"/>
      <w:r>
        <w:rPr>
          <w:rFonts w:hint="eastAsia"/>
        </w:rPr>
        <w:t>安全保障</w:t>
      </w:r>
      <w:bookmarkEnd w:id="245"/>
      <w:bookmarkEnd w:id="246"/>
      <w:bookmarkEnd w:id="247"/>
      <w:bookmarkEnd w:id="248"/>
      <w:bookmarkEnd w:id="249"/>
      <w:bookmarkEnd w:id="250"/>
      <w:bookmarkEnd w:id="251"/>
    </w:p>
    <w:p>
      <w:pPr>
        <w:pStyle w:val="21"/>
      </w:pPr>
      <w:r>
        <w:rPr>
          <w:rFonts w:hint="eastAsia"/>
        </w:rPr>
        <w:t>幼儿园在日常的教育教学活动中应当落实安全与应急管理要求，定期或不定期开展安全与应急管理评估，积极防范可能发生的安全风险。</w:t>
      </w:r>
    </w:p>
    <w:p>
      <w:pPr>
        <w:pStyle w:val="38"/>
        <w:spacing w:before="156" w:after="156"/>
      </w:pPr>
      <w:bookmarkStart w:id="252" w:name="_Toc47203380"/>
      <w:bookmarkStart w:id="253" w:name="_Toc50063590"/>
      <w:bookmarkStart w:id="254" w:name="_Toc50195241"/>
      <w:bookmarkStart w:id="255" w:name="_Toc50241679"/>
      <w:bookmarkStart w:id="256" w:name="_Toc50281859"/>
      <w:r>
        <w:rPr>
          <w:rFonts w:hint="eastAsia"/>
        </w:rPr>
        <w:t>卫生保健</w:t>
      </w:r>
      <w:bookmarkEnd w:id="252"/>
      <w:bookmarkEnd w:id="253"/>
      <w:bookmarkEnd w:id="254"/>
      <w:bookmarkEnd w:id="255"/>
      <w:bookmarkEnd w:id="256"/>
    </w:p>
    <w:p>
      <w:pPr>
        <w:pStyle w:val="21"/>
      </w:pPr>
      <w:r>
        <w:rPr>
          <w:rFonts w:hint="eastAsia"/>
        </w:rPr>
        <w:t>幼儿园应当按照国家有关规定配备具有从业资格的专职医务(保健)人员或者兼职卫生保健教师，购置必需的急救器材和药品，保障对学生常见病的治疗，并负责幼儿园传染病疫情及其他突发公共卫生事件的报告。有条件的幼儿园，应当设立卫生（保健）室。</w:t>
      </w:r>
    </w:p>
    <w:p>
      <w:pPr>
        <w:pStyle w:val="38"/>
        <w:spacing w:before="156" w:after="156"/>
      </w:pPr>
      <w:bookmarkStart w:id="257" w:name="_Toc20485784"/>
      <w:bookmarkStart w:id="258" w:name="_Toc20485843"/>
      <w:bookmarkStart w:id="259" w:name="_Toc47203381"/>
      <w:bookmarkStart w:id="260" w:name="_Toc50063591"/>
      <w:bookmarkStart w:id="261" w:name="_Toc50195242"/>
      <w:bookmarkStart w:id="262" w:name="_Toc50241680"/>
      <w:bookmarkStart w:id="263" w:name="_Toc50281860"/>
      <w:r>
        <w:t>集体活动</w:t>
      </w:r>
      <w:bookmarkEnd w:id="257"/>
      <w:bookmarkEnd w:id="258"/>
      <w:bookmarkEnd w:id="259"/>
      <w:bookmarkEnd w:id="260"/>
      <w:bookmarkEnd w:id="261"/>
      <w:bookmarkEnd w:id="262"/>
      <w:bookmarkEnd w:id="263"/>
    </w:p>
    <w:p>
      <w:pPr>
        <w:pStyle w:val="21"/>
      </w:pPr>
      <w:r>
        <w:rPr>
          <w:rFonts w:hint="eastAsia"/>
        </w:rPr>
        <w:t>幼儿园组织开展校园外活动及其它大型集体活动，应采取以下安全措施：</w:t>
      </w:r>
    </w:p>
    <w:p>
      <w:pPr>
        <w:pStyle w:val="55"/>
        <w:numPr>
          <w:ilvl w:val="0"/>
          <w:numId w:val="26"/>
        </w:numPr>
      </w:pPr>
      <w:r>
        <w:rPr>
          <w:rFonts w:hint="eastAsia"/>
        </w:rPr>
        <w:t>成立以安全与应急管理代表为负责人的临时安全与应急管理组织机构；</w:t>
      </w:r>
    </w:p>
    <w:p>
      <w:pPr>
        <w:pStyle w:val="55"/>
        <w:numPr>
          <w:ilvl w:val="0"/>
          <w:numId w:val="26"/>
        </w:numPr>
      </w:pPr>
      <w:r>
        <w:rPr>
          <w:rFonts w:hint="eastAsia"/>
        </w:rPr>
        <w:t>有针对性地对学生和学生监护人进行安全知识培训；</w:t>
      </w:r>
    </w:p>
    <w:p>
      <w:pPr>
        <w:pStyle w:val="55"/>
        <w:numPr>
          <w:ilvl w:val="0"/>
          <w:numId w:val="26"/>
        </w:numPr>
      </w:pPr>
      <w:r>
        <w:rPr>
          <w:rFonts w:hint="eastAsia"/>
        </w:rPr>
        <w:t>安排必要的安全保卫人员，明确所承担的安全职责；</w:t>
      </w:r>
    </w:p>
    <w:p>
      <w:pPr>
        <w:pStyle w:val="55"/>
        <w:numPr>
          <w:ilvl w:val="0"/>
          <w:numId w:val="26"/>
        </w:numPr>
      </w:pPr>
      <w:r>
        <w:rPr>
          <w:rFonts w:hint="eastAsia"/>
        </w:rPr>
        <w:t>制定安全应急预案，采取相应的防范措施。</w:t>
      </w:r>
    </w:p>
    <w:p>
      <w:pPr>
        <w:pStyle w:val="38"/>
        <w:spacing w:before="156" w:after="156"/>
      </w:pPr>
      <w:bookmarkStart w:id="264" w:name="_Toc20485785"/>
      <w:bookmarkStart w:id="265" w:name="_Toc20485844"/>
      <w:bookmarkStart w:id="266" w:name="_Toc47203382"/>
      <w:bookmarkStart w:id="267" w:name="_Toc50063592"/>
      <w:bookmarkStart w:id="268" w:name="_Toc50195243"/>
      <w:bookmarkStart w:id="269" w:name="_Toc50241681"/>
      <w:bookmarkStart w:id="270" w:name="_Toc50281861"/>
      <w:r>
        <w:t>接送交接</w:t>
      </w:r>
      <w:bookmarkEnd w:id="264"/>
      <w:bookmarkEnd w:id="265"/>
      <w:bookmarkEnd w:id="266"/>
      <w:bookmarkEnd w:id="267"/>
      <w:bookmarkEnd w:id="268"/>
      <w:bookmarkEnd w:id="269"/>
      <w:bookmarkEnd w:id="270"/>
    </w:p>
    <w:p>
      <w:pPr>
        <w:pStyle w:val="21"/>
      </w:pPr>
      <w:r>
        <w:rPr>
          <w:rFonts w:hint="eastAsia"/>
        </w:rPr>
        <w:t>应制定并贯彻落实幼儿家长或其亲属上学、放学接送交接制度。</w:t>
      </w:r>
    </w:p>
    <w:p>
      <w:pPr>
        <w:pStyle w:val="38"/>
        <w:spacing w:before="156" w:after="156"/>
      </w:pPr>
      <w:bookmarkStart w:id="271" w:name="_Toc20485786"/>
      <w:bookmarkStart w:id="272" w:name="_Toc20485845"/>
      <w:bookmarkStart w:id="273" w:name="_Toc47203383"/>
      <w:bookmarkStart w:id="274" w:name="_Toc50063593"/>
      <w:bookmarkStart w:id="275" w:name="_Toc50195244"/>
      <w:bookmarkStart w:id="276" w:name="_Toc50241682"/>
      <w:bookmarkStart w:id="277" w:name="_Toc50281862"/>
      <w:r>
        <w:rPr>
          <w:rFonts w:hint="eastAsia"/>
        </w:rPr>
        <w:t>值班、巡查</w:t>
      </w:r>
      <w:bookmarkEnd w:id="271"/>
      <w:bookmarkEnd w:id="272"/>
      <w:bookmarkEnd w:id="273"/>
      <w:bookmarkEnd w:id="274"/>
      <w:bookmarkEnd w:id="275"/>
      <w:bookmarkEnd w:id="276"/>
      <w:bookmarkEnd w:id="277"/>
    </w:p>
    <w:p>
      <w:pPr>
        <w:pStyle w:val="21"/>
      </w:pPr>
      <w:r>
        <w:rPr>
          <w:rFonts w:hint="eastAsia"/>
        </w:rPr>
        <w:t>学生在教学楼进行教学活动时，幼儿园应安排人员值班、巡查，并做好记录。</w:t>
      </w:r>
    </w:p>
    <w:p>
      <w:pPr>
        <w:pStyle w:val="38"/>
        <w:spacing w:before="156" w:after="156"/>
      </w:pPr>
      <w:bookmarkStart w:id="278" w:name="_Toc20485787"/>
      <w:bookmarkStart w:id="279" w:name="_Toc20485846"/>
      <w:bookmarkStart w:id="280" w:name="_Toc47203384"/>
      <w:bookmarkStart w:id="281" w:name="_Toc50063594"/>
      <w:bookmarkStart w:id="282" w:name="_Toc50195245"/>
      <w:bookmarkStart w:id="283" w:name="_Toc50241683"/>
      <w:bookmarkStart w:id="284" w:name="_Toc50281863"/>
      <w:r>
        <w:rPr>
          <w:rFonts w:hint="eastAsia"/>
        </w:rPr>
        <w:t>楼道安全</w:t>
      </w:r>
      <w:bookmarkEnd w:id="278"/>
      <w:bookmarkEnd w:id="279"/>
      <w:bookmarkEnd w:id="280"/>
      <w:bookmarkEnd w:id="281"/>
      <w:bookmarkEnd w:id="282"/>
      <w:bookmarkEnd w:id="283"/>
      <w:bookmarkEnd w:id="284"/>
    </w:p>
    <w:p>
      <w:pPr>
        <w:pStyle w:val="59"/>
        <w:ind w:left="0"/>
      </w:pPr>
      <w:r>
        <w:rPr>
          <w:rFonts w:hint="eastAsia"/>
        </w:rPr>
        <w:t>幼儿园应在楼道地面或通道墙面标注明晰的紧急疏散标志和通往安全避险场所的导向图，并维护标志和导向图的完整性。</w:t>
      </w:r>
    </w:p>
    <w:p>
      <w:pPr>
        <w:pStyle w:val="59"/>
        <w:ind w:left="0"/>
      </w:pPr>
      <w:r>
        <w:rPr>
          <w:rFonts w:hint="eastAsia"/>
        </w:rPr>
        <w:t>幼儿园应合理安排学生放学疏散时间，同时安排人员巡查、护导，维护上下楼道秩序，防止发生拥挤踩踏伤害事故。</w:t>
      </w:r>
    </w:p>
    <w:p>
      <w:pPr>
        <w:pStyle w:val="38"/>
        <w:spacing w:before="156" w:after="156"/>
      </w:pPr>
      <w:bookmarkStart w:id="285" w:name="_Toc50063595"/>
      <w:bookmarkStart w:id="286" w:name="_Toc50195246"/>
      <w:bookmarkStart w:id="287" w:name="_Toc50241684"/>
      <w:bookmarkStart w:id="288" w:name="_Toc50281864"/>
      <w:r>
        <w:rPr>
          <w:rFonts w:hint="eastAsia"/>
        </w:rPr>
        <w:t>电器安全</w:t>
      </w:r>
      <w:bookmarkEnd w:id="285"/>
      <w:bookmarkEnd w:id="286"/>
      <w:bookmarkEnd w:id="287"/>
      <w:bookmarkEnd w:id="288"/>
    </w:p>
    <w:p>
      <w:pPr>
        <w:pStyle w:val="59"/>
        <w:ind w:left="0"/>
      </w:pPr>
      <w:r>
        <w:rPr>
          <w:rFonts w:hint="eastAsia"/>
        </w:rPr>
        <w:t>教师禁止在宿舍内使用大功率电器，做到人走灯灭，预防火灾。</w:t>
      </w:r>
    </w:p>
    <w:p>
      <w:pPr>
        <w:pStyle w:val="59"/>
        <w:ind w:left="0"/>
      </w:pPr>
      <w:r>
        <w:rPr>
          <w:rFonts w:hint="eastAsia"/>
        </w:rPr>
        <w:t>教室内不应有插线板，如果有，需放置高于1.5米的位置，教室电源接口统一设置高于1.5米。</w:t>
      </w:r>
    </w:p>
    <w:p>
      <w:pPr>
        <w:pStyle w:val="59"/>
        <w:ind w:left="0"/>
      </w:pPr>
      <w:r>
        <w:rPr>
          <w:rFonts w:hint="eastAsia"/>
        </w:rPr>
        <w:t>如活动室内有紫外线消毒装置，则应将紫外线消毒装置的开关与室内灯开关分开安置或是有明显的区分。</w:t>
      </w:r>
    </w:p>
    <w:p>
      <w:pPr>
        <w:pStyle w:val="38"/>
        <w:spacing w:before="156" w:after="156"/>
      </w:pPr>
      <w:bookmarkStart w:id="289" w:name="_Toc47203403"/>
      <w:bookmarkStart w:id="290" w:name="_Toc50063587"/>
      <w:bookmarkStart w:id="291" w:name="_Toc50195238"/>
      <w:bookmarkStart w:id="292" w:name="_Toc50241676"/>
      <w:bookmarkStart w:id="293" w:name="_Toc50281865"/>
      <w:r>
        <w:rPr>
          <w:rFonts w:hint="eastAsia"/>
        </w:rPr>
        <w:t>食品安全防范</w:t>
      </w:r>
      <w:bookmarkEnd w:id="289"/>
      <w:bookmarkEnd w:id="290"/>
      <w:bookmarkEnd w:id="291"/>
      <w:bookmarkEnd w:id="292"/>
      <w:bookmarkEnd w:id="293"/>
    </w:p>
    <w:p>
      <w:pPr>
        <w:pStyle w:val="59"/>
        <w:ind w:left="0"/>
      </w:pPr>
      <w:r>
        <w:rPr>
          <w:rFonts w:hint="eastAsia"/>
        </w:rPr>
        <w:t>幼儿园食品安全防范应符合教育主管部门颁发的相关规定。</w:t>
      </w:r>
    </w:p>
    <w:p>
      <w:pPr>
        <w:pStyle w:val="59"/>
        <w:ind w:left="0"/>
      </w:pPr>
      <w:r>
        <w:rPr>
          <w:rFonts w:hint="eastAsia"/>
        </w:rPr>
        <w:t>幼儿园食品安全实行园长负责制。</w:t>
      </w:r>
    </w:p>
    <w:p>
      <w:pPr>
        <w:pStyle w:val="59"/>
        <w:ind w:left="0"/>
      </w:pPr>
      <w:r>
        <w:rPr>
          <w:rFonts w:hint="eastAsia"/>
        </w:rPr>
        <w:t>幼儿园食品安全与营养健康管理相关工作人员应当按照有关要求，定期接受培训与考核，学习食品安全与营养健康相关法律、法规、规章、标准和其他相关专业知识。</w:t>
      </w:r>
    </w:p>
    <w:p>
      <w:pPr>
        <w:pStyle w:val="59"/>
        <w:ind w:left="0"/>
      </w:pPr>
      <w:r>
        <w:rPr>
          <w:rFonts w:hint="eastAsia"/>
        </w:rPr>
        <w:t>幼儿园应当根据卫生健康主管部门发布的学生餐营养指南等标准，针对不同年龄段在校学生营养健康需求，因地制宜给幼儿提供科学营养用餐。</w:t>
      </w:r>
    </w:p>
    <w:p>
      <w:pPr>
        <w:pStyle w:val="59"/>
        <w:ind w:left="0"/>
      </w:pPr>
      <w:r>
        <w:rPr>
          <w:rFonts w:hint="eastAsia"/>
        </w:rPr>
        <w:t>幼儿园应当建立集中用餐信息公开制度，利用公共信息平台等方式及时向师生家长公开食品进货来源、供餐单位等信息，组织师生家长代表参与食品安全与营养健康的管理和监督。</w:t>
      </w:r>
    </w:p>
    <w:p>
      <w:pPr>
        <w:pStyle w:val="59"/>
        <w:ind w:left="0"/>
      </w:pPr>
      <w:r>
        <w:rPr>
          <w:rFonts w:hint="eastAsia"/>
        </w:rPr>
        <w:t>幼儿园食堂应当建立健全并落实食品安全管理制度，按照规定制定并执行场所及设施设备清洗消毒、维修保养校验、原料采购至供餐全过程控制管理、餐具饮具清洗消毒、食品添加剂使用管理等食品安全管理制度。</w:t>
      </w:r>
    </w:p>
    <w:p>
      <w:pPr>
        <w:pStyle w:val="59"/>
        <w:ind w:left="0"/>
      </w:pPr>
      <w:r>
        <w:rPr>
          <w:rFonts w:hint="eastAsia"/>
        </w:rPr>
        <w:t>幼儿园食堂应当建立并执行从业人员健康管理制度和培训制度。患有国家卫生健康委规定的有碍食品安全疾病的人员，不得从事接触直接入口食品的工作。从事接触直接入口食品工作的从业人员应当每年进行健康检查，取得健康证明后方可上岗工作，必要时应当进行临时健康检查。</w:t>
      </w:r>
    </w:p>
    <w:p>
      <w:pPr>
        <w:pStyle w:val="59"/>
        <w:ind w:left="0"/>
      </w:pPr>
      <w:r>
        <w:rPr>
          <w:rFonts w:hint="eastAsia"/>
        </w:rPr>
        <w:t>食品由专人按实际需要采购，采购的食品应新鲜优质，每天由专人验收生、熟食品，并建立验收记录。</w:t>
      </w:r>
    </w:p>
    <w:p>
      <w:pPr>
        <w:pStyle w:val="59"/>
        <w:ind w:left="0"/>
      </w:pPr>
      <w:r>
        <w:rPr>
          <w:rFonts w:hint="eastAsia"/>
        </w:rPr>
        <w:t>生食品经验收后入库，库存不宜过多，各类食品应按需要量领取，每月底盘存。</w:t>
      </w:r>
    </w:p>
    <w:p>
      <w:pPr>
        <w:pStyle w:val="59"/>
        <w:ind w:left="0"/>
      </w:pPr>
      <w:r>
        <w:rPr>
          <w:rFonts w:hint="eastAsia"/>
        </w:rPr>
        <w:t>各种膳食烹调后，由专人检查质量，合格后根据各班用膳人数发出，营养员应到各班了解儿童用膳情况，听取对膳食的意见。</w:t>
      </w:r>
    </w:p>
    <w:p>
      <w:pPr>
        <w:pStyle w:val="59"/>
        <w:ind w:left="0"/>
      </w:pPr>
      <w:r>
        <w:rPr>
          <w:rFonts w:hint="eastAsia"/>
        </w:rPr>
        <w:t>保健人员(或营养员)应定期进行食品卫生检查，对食品的保质期严格把关。</w:t>
      </w:r>
    </w:p>
    <w:p>
      <w:pPr>
        <w:pStyle w:val="59"/>
        <w:ind w:left="0"/>
      </w:pPr>
      <w:r>
        <w:rPr>
          <w:rFonts w:hint="eastAsia"/>
        </w:rPr>
        <w:t>建立严格的消毒卫生制度，规范操作、定期检查。</w:t>
      </w:r>
    </w:p>
    <w:p>
      <w:pPr>
        <w:pStyle w:val="59"/>
        <w:ind w:left="0"/>
      </w:pPr>
      <w:r>
        <w:rPr>
          <w:rFonts w:hint="eastAsia"/>
        </w:rPr>
        <w:t>幼儿园保健人员（营养员）应符合下列规定：</w:t>
      </w:r>
    </w:p>
    <w:p>
      <w:pPr>
        <w:pStyle w:val="55"/>
        <w:numPr>
          <w:ilvl w:val="0"/>
          <w:numId w:val="27"/>
        </w:numPr>
      </w:pPr>
      <w:r>
        <w:rPr>
          <w:rFonts w:hint="eastAsia"/>
        </w:rPr>
        <w:t>认真执行《食品卫生法》，严格遵守幼儿园食品卫生操作规范，热爱幼儿；</w:t>
      </w:r>
    </w:p>
    <w:p>
      <w:pPr>
        <w:pStyle w:val="55"/>
        <w:numPr>
          <w:ilvl w:val="0"/>
          <w:numId w:val="18"/>
        </w:numPr>
      </w:pPr>
      <w:r>
        <w:rPr>
          <w:rFonts w:hint="eastAsia"/>
        </w:rPr>
        <w:t>持有国家认可的专业证书；</w:t>
      </w:r>
    </w:p>
    <w:p>
      <w:pPr>
        <w:pStyle w:val="55"/>
        <w:numPr>
          <w:ilvl w:val="0"/>
          <w:numId w:val="18"/>
        </w:numPr>
      </w:pPr>
      <w:r>
        <w:rPr>
          <w:rFonts w:hint="eastAsia"/>
        </w:rPr>
        <w:t>熟悉幼儿营养基本知识，掌握必要的烹饪技能；</w:t>
      </w:r>
    </w:p>
    <w:p>
      <w:pPr>
        <w:pStyle w:val="59"/>
      </w:pPr>
      <w:r>
        <w:rPr>
          <w:rFonts w:hint="eastAsia"/>
        </w:rPr>
        <w:t>身体健康，持有食品从业人员健康证。</w:t>
      </w:r>
    </w:p>
    <w:p>
      <w:pPr>
        <w:pStyle w:val="38"/>
        <w:spacing w:before="156" w:after="156"/>
      </w:pPr>
      <w:bookmarkStart w:id="294" w:name="_Toc20485788"/>
      <w:bookmarkStart w:id="295" w:name="_Toc20485847"/>
      <w:bookmarkStart w:id="296" w:name="_Toc47203385"/>
      <w:bookmarkStart w:id="297" w:name="_Toc50063596"/>
      <w:bookmarkStart w:id="298" w:name="_Toc50195247"/>
      <w:bookmarkStart w:id="299" w:name="_Toc50241685"/>
      <w:bookmarkStart w:id="300" w:name="_Toc50281866"/>
      <w:r>
        <w:rPr>
          <w:rFonts w:hint="eastAsia"/>
        </w:rPr>
        <w:t>禁止事项</w:t>
      </w:r>
      <w:bookmarkEnd w:id="294"/>
      <w:bookmarkEnd w:id="295"/>
      <w:bookmarkEnd w:id="296"/>
      <w:bookmarkEnd w:id="297"/>
      <w:bookmarkEnd w:id="298"/>
      <w:bookmarkEnd w:id="299"/>
      <w:bookmarkEnd w:id="300"/>
    </w:p>
    <w:p>
      <w:pPr>
        <w:pStyle w:val="21"/>
      </w:pPr>
      <w:r>
        <w:rPr>
          <w:rFonts w:hint="eastAsia"/>
        </w:rPr>
        <w:t>幼儿园不应将校舍、场地出租给他人从事易燃、易爆、有毒、有害等危险品的生产、经营和储存。</w:t>
      </w:r>
    </w:p>
    <w:p>
      <w:pPr>
        <w:pStyle w:val="38"/>
        <w:spacing w:before="156" w:after="156"/>
      </w:pPr>
      <w:bookmarkStart w:id="301" w:name="_Toc20485789"/>
      <w:bookmarkStart w:id="302" w:name="_Toc20485848"/>
      <w:bookmarkStart w:id="303" w:name="_Toc47203386"/>
      <w:bookmarkStart w:id="304" w:name="_Toc50063597"/>
      <w:bookmarkStart w:id="305" w:name="_Toc50195248"/>
      <w:bookmarkStart w:id="306" w:name="_Toc50241686"/>
      <w:bookmarkStart w:id="307" w:name="_Toc50281867"/>
      <w:r>
        <w:rPr>
          <w:rFonts w:hint="eastAsia"/>
        </w:rPr>
        <w:t>特例安排</w:t>
      </w:r>
      <w:bookmarkEnd w:id="301"/>
      <w:bookmarkEnd w:id="302"/>
      <w:bookmarkEnd w:id="303"/>
      <w:bookmarkEnd w:id="304"/>
      <w:bookmarkEnd w:id="305"/>
      <w:bookmarkEnd w:id="306"/>
      <w:bookmarkEnd w:id="307"/>
    </w:p>
    <w:p>
      <w:pPr>
        <w:pStyle w:val="59"/>
        <w:ind w:left="0"/>
      </w:pPr>
      <w:r>
        <w:rPr>
          <w:rFonts w:hint="eastAsia"/>
        </w:rPr>
        <w:t>幼儿园应定期对学生生理、心理状况进行排摸，建立学生健康档案。对已知的有特异体质、特定疾病或者异常心理状况的学生，应当给予适当关注和照顾。</w:t>
      </w:r>
    </w:p>
    <w:p>
      <w:pPr>
        <w:pStyle w:val="59"/>
        <w:ind w:left="0"/>
      </w:pPr>
      <w:r>
        <w:rPr>
          <w:rFonts w:hint="eastAsia"/>
        </w:rPr>
        <w:t>幼儿园应书面告知监护人及时将被监护人的特异体质、特定疾病或者异常心理状况等情况书面反馈给幼儿园。</w:t>
      </w:r>
    </w:p>
    <w:p>
      <w:pPr>
        <w:pStyle w:val="38"/>
        <w:spacing w:before="156" w:after="156"/>
      </w:pPr>
      <w:bookmarkStart w:id="308" w:name="_Toc50195249"/>
      <w:bookmarkStart w:id="309" w:name="_Toc50241687"/>
      <w:bookmarkStart w:id="310" w:name="_Toc50281868"/>
      <w:r>
        <w:rPr>
          <w:rFonts w:hint="eastAsia"/>
        </w:rPr>
        <w:t>家园共育</w:t>
      </w:r>
      <w:bookmarkEnd w:id="308"/>
      <w:bookmarkEnd w:id="309"/>
      <w:bookmarkEnd w:id="310"/>
    </w:p>
    <w:p>
      <w:pPr>
        <w:pStyle w:val="21"/>
      </w:pPr>
      <w:r>
        <w:rPr>
          <w:rFonts w:hint="eastAsia"/>
        </w:rPr>
        <w:t>学校要与家长保持密切联系，要通过开展家访、召开家长会等方式，提醒家长切实履行对孩子的监护责任，特别是做好学生离园后的监管看护教育工作。</w:t>
      </w:r>
    </w:p>
    <w:p>
      <w:pPr>
        <w:pStyle w:val="41"/>
        <w:spacing w:before="312" w:after="312"/>
      </w:pPr>
      <w:bookmarkStart w:id="311" w:name="_Toc20485790"/>
      <w:bookmarkStart w:id="312" w:name="_Toc20485849"/>
      <w:bookmarkStart w:id="313" w:name="_Toc47203387"/>
      <w:bookmarkStart w:id="314" w:name="_Toc50063598"/>
      <w:bookmarkStart w:id="315" w:name="_Toc50195250"/>
      <w:bookmarkStart w:id="316" w:name="_Toc50241688"/>
      <w:bookmarkStart w:id="317" w:name="_Toc50281869"/>
      <w:r>
        <w:rPr>
          <w:rFonts w:hint="eastAsia"/>
        </w:rPr>
        <w:t>突发事件应急处置</w:t>
      </w:r>
      <w:bookmarkEnd w:id="311"/>
      <w:bookmarkEnd w:id="312"/>
      <w:bookmarkEnd w:id="313"/>
      <w:bookmarkEnd w:id="314"/>
      <w:bookmarkEnd w:id="315"/>
      <w:bookmarkEnd w:id="316"/>
      <w:bookmarkEnd w:id="317"/>
    </w:p>
    <w:p>
      <w:pPr>
        <w:pStyle w:val="38"/>
        <w:spacing w:before="156" w:after="156"/>
      </w:pPr>
      <w:bookmarkStart w:id="318" w:name="_Toc20485791"/>
      <w:bookmarkStart w:id="319" w:name="_Toc20485850"/>
      <w:bookmarkStart w:id="320" w:name="_Toc47203388"/>
      <w:bookmarkStart w:id="321" w:name="_Toc50063599"/>
      <w:bookmarkStart w:id="322" w:name="_Toc50195251"/>
      <w:bookmarkStart w:id="323" w:name="_Toc50241689"/>
      <w:bookmarkStart w:id="324" w:name="_Toc50281870"/>
      <w:r>
        <w:t>管理机制</w:t>
      </w:r>
      <w:bookmarkEnd w:id="318"/>
      <w:bookmarkEnd w:id="319"/>
      <w:bookmarkEnd w:id="320"/>
      <w:bookmarkEnd w:id="321"/>
      <w:bookmarkEnd w:id="322"/>
      <w:bookmarkEnd w:id="323"/>
      <w:bookmarkEnd w:id="324"/>
    </w:p>
    <w:p>
      <w:pPr>
        <w:pStyle w:val="42"/>
        <w:numPr>
          <w:ilvl w:val="0"/>
          <w:numId w:val="0"/>
        </w:numPr>
        <w:spacing w:before="156" w:after="156"/>
        <w:ind w:firstLine="420" w:firstLineChars="200"/>
        <w:rPr>
          <w:rFonts w:ascii="宋体" w:eastAsia="宋体"/>
        </w:rPr>
      </w:pPr>
      <w:bookmarkStart w:id="325" w:name="_Toc20485792"/>
      <w:r>
        <w:rPr>
          <w:rFonts w:hint="eastAsia" w:ascii="宋体" w:eastAsia="宋体"/>
        </w:rPr>
        <w:t>幼儿园应建立安全防范应急管理机制，识别和分析可能发生的紧急情况和安全事故，进行风险评估，制定治安、消防、交通等突发事件和学生伤害事故应急预案。</w:t>
      </w:r>
      <w:bookmarkEnd w:id="325"/>
    </w:p>
    <w:p>
      <w:pPr>
        <w:pStyle w:val="38"/>
        <w:spacing w:before="156" w:after="156"/>
      </w:pPr>
      <w:bookmarkStart w:id="326" w:name="_Toc20485793"/>
      <w:bookmarkStart w:id="327" w:name="_Toc20485851"/>
      <w:bookmarkStart w:id="328" w:name="_Toc47203389"/>
      <w:bookmarkStart w:id="329" w:name="_Toc50063600"/>
      <w:bookmarkStart w:id="330" w:name="_Toc50195252"/>
      <w:bookmarkStart w:id="331" w:name="_Toc50241690"/>
      <w:bookmarkStart w:id="332" w:name="_Toc50281871"/>
      <w:r>
        <w:rPr>
          <w:rFonts w:hint="eastAsia"/>
        </w:rPr>
        <w:t>应急组织机构</w:t>
      </w:r>
      <w:bookmarkEnd w:id="326"/>
      <w:bookmarkEnd w:id="327"/>
      <w:bookmarkEnd w:id="328"/>
      <w:bookmarkEnd w:id="329"/>
      <w:bookmarkEnd w:id="330"/>
      <w:bookmarkEnd w:id="331"/>
      <w:bookmarkEnd w:id="332"/>
    </w:p>
    <w:p>
      <w:pPr>
        <w:pStyle w:val="21"/>
      </w:pPr>
      <w:r>
        <w:rPr>
          <w:rFonts w:hint="eastAsia"/>
        </w:rPr>
        <w:t>幼儿园应建立应急组织机构和应急队伍，明确人员职责，训练幼儿园教师队伍掌握紧急状态的安全应对流程。</w:t>
      </w:r>
    </w:p>
    <w:p>
      <w:pPr>
        <w:pStyle w:val="38"/>
        <w:spacing w:before="156" w:after="156"/>
      </w:pPr>
      <w:bookmarkStart w:id="333" w:name="_Toc20485794"/>
      <w:bookmarkStart w:id="334" w:name="_Toc20485852"/>
      <w:bookmarkStart w:id="335" w:name="_Toc47203390"/>
      <w:bookmarkStart w:id="336" w:name="_Toc50063601"/>
      <w:bookmarkStart w:id="337" w:name="_Toc50195253"/>
      <w:bookmarkStart w:id="338" w:name="_Toc50241691"/>
      <w:bookmarkStart w:id="339" w:name="_Toc50281872"/>
      <w:r>
        <w:rPr>
          <w:rFonts w:hint="eastAsia"/>
        </w:rPr>
        <w:t>应急预案</w:t>
      </w:r>
      <w:bookmarkEnd w:id="333"/>
      <w:bookmarkEnd w:id="334"/>
      <w:bookmarkEnd w:id="335"/>
      <w:bookmarkEnd w:id="336"/>
      <w:bookmarkEnd w:id="337"/>
      <w:bookmarkEnd w:id="338"/>
      <w:bookmarkEnd w:id="339"/>
    </w:p>
    <w:p>
      <w:pPr>
        <w:pStyle w:val="59"/>
        <w:ind w:left="0"/>
      </w:pPr>
      <w:r>
        <w:rPr>
          <w:rFonts w:hint="eastAsia"/>
        </w:rPr>
        <w:t>幼儿园应制定各类事项应急预案的流程和方法，主要包括：</w:t>
      </w:r>
    </w:p>
    <w:p>
      <w:pPr>
        <w:pStyle w:val="55"/>
        <w:numPr>
          <w:ilvl w:val="0"/>
          <w:numId w:val="28"/>
        </w:numPr>
      </w:pPr>
      <w:r>
        <w:rPr>
          <w:rFonts w:hint="eastAsia"/>
        </w:rPr>
        <w:t>可能导致突发事件的相关信息；</w:t>
      </w:r>
    </w:p>
    <w:p>
      <w:pPr>
        <w:pStyle w:val="55"/>
        <w:numPr>
          <w:ilvl w:val="0"/>
          <w:numId w:val="28"/>
        </w:numPr>
      </w:pPr>
      <w:r>
        <w:rPr>
          <w:rFonts w:hint="eastAsia"/>
        </w:rPr>
        <w:t>事件预警；</w:t>
      </w:r>
    </w:p>
    <w:p>
      <w:pPr>
        <w:pStyle w:val="55"/>
        <w:numPr>
          <w:ilvl w:val="0"/>
          <w:numId w:val="28"/>
        </w:numPr>
      </w:pPr>
      <w:r>
        <w:rPr>
          <w:rFonts w:hint="eastAsia"/>
        </w:rPr>
        <w:t>预案启动；</w:t>
      </w:r>
    </w:p>
    <w:p>
      <w:pPr>
        <w:pStyle w:val="55"/>
        <w:numPr>
          <w:ilvl w:val="0"/>
          <w:numId w:val="28"/>
        </w:numPr>
      </w:pPr>
      <w:r>
        <w:rPr>
          <w:rFonts w:hint="eastAsia"/>
        </w:rPr>
        <w:t>应急处置；</w:t>
      </w:r>
    </w:p>
    <w:p>
      <w:pPr>
        <w:pStyle w:val="55"/>
        <w:numPr>
          <w:ilvl w:val="0"/>
          <w:numId w:val="28"/>
        </w:numPr>
      </w:pPr>
      <w:r>
        <w:rPr>
          <w:rFonts w:hint="eastAsia"/>
        </w:rPr>
        <w:t>善后处理；</w:t>
      </w:r>
    </w:p>
    <w:p>
      <w:pPr>
        <w:pStyle w:val="55"/>
        <w:numPr>
          <w:ilvl w:val="0"/>
          <w:numId w:val="28"/>
        </w:numPr>
      </w:pPr>
      <w:r>
        <w:rPr>
          <w:rFonts w:hint="eastAsia"/>
        </w:rPr>
        <w:t>应急流程的评估与改进。</w:t>
      </w:r>
    </w:p>
    <w:p>
      <w:pPr>
        <w:pStyle w:val="59"/>
        <w:ind w:left="0"/>
      </w:pPr>
      <w:r>
        <w:rPr>
          <w:rFonts w:hint="eastAsia"/>
        </w:rPr>
        <w:t>应急预案经幼儿园安全管理责任人批准后执行。</w:t>
      </w:r>
    </w:p>
    <w:p>
      <w:pPr>
        <w:pStyle w:val="38"/>
        <w:spacing w:before="156" w:after="156"/>
      </w:pPr>
      <w:bookmarkStart w:id="340" w:name="_Toc20485795"/>
      <w:bookmarkStart w:id="341" w:name="_Toc20485853"/>
      <w:bookmarkStart w:id="342" w:name="_Toc47203391"/>
      <w:bookmarkStart w:id="343" w:name="_Toc50063602"/>
      <w:bookmarkStart w:id="344" w:name="_Toc50195254"/>
      <w:bookmarkStart w:id="345" w:name="_Toc50241692"/>
      <w:bookmarkStart w:id="346" w:name="_Toc50281873"/>
      <w:r>
        <w:rPr>
          <w:rFonts w:hint="eastAsia"/>
        </w:rPr>
        <w:t>报告和沟通</w:t>
      </w:r>
      <w:bookmarkEnd w:id="340"/>
      <w:bookmarkEnd w:id="341"/>
      <w:bookmarkEnd w:id="342"/>
      <w:bookmarkEnd w:id="343"/>
      <w:bookmarkEnd w:id="344"/>
      <w:bookmarkEnd w:id="345"/>
      <w:bookmarkEnd w:id="346"/>
    </w:p>
    <w:p>
      <w:pPr>
        <w:pStyle w:val="21"/>
      </w:pPr>
      <w:r>
        <w:rPr>
          <w:rFonts w:hint="eastAsia"/>
        </w:rPr>
        <w:t>幼儿园应落实突发事件报告制度和内、外部沟通制度。</w:t>
      </w:r>
    </w:p>
    <w:p>
      <w:pPr>
        <w:pStyle w:val="38"/>
        <w:spacing w:before="156" w:after="156"/>
      </w:pPr>
      <w:bookmarkStart w:id="347" w:name="_Toc20485796"/>
      <w:bookmarkStart w:id="348" w:name="_Toc20485854"/>
      <w:bookmarkStart w:id="349" w:name="_Toc47203392"/>
      <w:bookmarkStart w:id="350" w:name="_Toc50063603"/>
      <w:bookmarkStart w:id="351" w:name="_Toc50195255"/>
      <w:bookmarkStart w:id="352" w:name="_Toc50241693"/>
      <w:bookmarkStart w:id="353" w:name="_Toc50281874"/>
      <w:r>
        <w:rPr>
          <w:rFonts w:hint="eastAsia"/>
        </w:rPr>
        <w:t>物资储备</w:t>
      </w:r>
      <w:bookmarkEnd w:id="347"/>
      <w:bookmarkEnd w:id="348"/>
      <w:bookmarkEnd w:id="349"/>
      <w:bookmarkEnd w:id="350"/>
      <w:bookmarkEnd w:id="351"/>
      <w:bookmarkEnd w:id="352"/>
      <w:bookmarkEnd w:id="353"/>
    </w:p>
    <w:p>
      <w:pPr>
        <w:pStyle w:val="21"/>
      </w:pPr>
      <w:r>
        <w:rPr>
          <w:rFonts w:hint="eastAsia"/>
        </w:rPr>
        <w:t>幼儿园应落实应急所需的设施、设备和物资等资源的储备与管理。</w:t>
      </w:r>
    </w:p>
    <w:p>
      <w:pPr>
        <w:pStyle w:val="38"/>
        <w:spacing w:before="156" w:after="156"/>
      </w:pPr>
      <w:bookmarkStart w:id="354" w:name="_Toc20485797"/>
      <w:bookmarkStart w:id="355" w:name="_Toc20485855"/>
      <w:bookmarkStart w:id="356" w:name="_Toc47203393"/>
      <w:bookmarkStart w:id="357" w:name="_Toc50063604"/>
      <w:bookmarkStart w:id="358" w:name="_Toc50195256"/>
      <w:bookmarkStart w:id="359" w:name="_Toc50241694"/>
      <w:bookmarkStart w:id="360" w:name="_Toc50281875"/>
      <w:r>
        <w:t>公示</w:t>
      </w:r>
      <w:bookmarkEnd w:id="354"/>
      <w:bookmarkEnd w:id="355"/>
      <w:bookmarkEnd w:id="356"/>
      <w:bookmarkEnd w:id="357"/>
      <w:bookmarkEnd w:id="358"/>
      <w:bookmarkEnd w:id="359"/>
      <w:bookmarkEnd w:id="360"/>
    </w:p>
    <w:p>
      <w:pPr>
        <w:pStyle w:val="21"/>
      </w:pPr>
      <w:r>
        <w:rPr>
          <w:rFonts w:hint="eastAsia"/>
        </w:rPr>
        <w:t>幼儿园应公示应急处置程序和应急处置部门的通讯方式。</w:t>
      </w:r>
    </w:p>
    <w:p>
      <w:pPr>
        <w:pStyle w:val="41"/>
        <w:spacing w:before="312" w:after="312"/>
      </w:pPr>
      <w:bookmarkStart w:id="361" w:name="_Toc20485799"/>
      <w:bookmarkStart w:id="362" w:name="_Toc20485857"/>
      <w:bookmarkStart w:id="363" w:name="_Toc47203394"/>
      <w:bookmarkStart w:id="364" w:name="_Toc50063605"/>
      <w:bookmarkStart w:id="365" w:name="_Toc50195257"/>
      <w:bookmarkStart w:id="366" w:name="_Toc50241695"/>
      <w:bookmarkStart w:id="367" w:name="_Toc50281876"/>
      <w:r>
        <w:rPr>
          <w:rFonts w:hint="eastAsia"/>
        </w:rPr>
        <w:t>安全与应急宣传教育培训</w:t>
      </w:r>
      <w:bookmarkEnd w:id="361"/>
      <w:bookmarkEnd w:id="362"/>
      <w:bookmarkEnd w:id="363"/>
      <w:bookmarkEnd w:id="364"/>
      <w:bookmarkEnd w:id="365"/>
      <w:bookmarkEnd w:id="366"/>
      <w:bookmarkEnd w:id="367"/>
    </w:p>
    <w:p>
      <w:pPr>
        <w:pStyle w:val="38"/>
        <w:spacing w:before="156" w:after="156"/>
      </w:pPr>
      <w:bookmarkStart w:id="368" w:name="_Toc20485800"/>
      <w:bookmarkStart w:id="369" w:name="_Toc20485858"/>
      <w:bookmarkStart w:id="370" w:name="_Toc47203395"/>
      <w:bookmarkStart w:id="371" w:name="_Toc50063606"/>
      <w:bookmarkStart w:id="372" w:name="_Toc50195258"/>
      <w:bookmarkStart w:id="373" w:name="_Toc50241696"/>
      <w:bookmarkStart w:id="374" w:name="_Toc50281877"/>
      <w:r>
        <w:t>教育培训人员范围</w:t>
      </w:r>
      <w:bookmarkEnd w:id="368"/>
      <w:bookmarkEnd w:id="369"/>
      <w:bookmarkEnd w:id="370"/>
      <w:bookmarkEnd w:id="371"/>
      <w:bookmarkEnd w:id="372"/>
      <w:bookmarkEnd w:id="373"/>
      <w:bookmarkEnd w:id="374"/>
    </w:p>
    <w:p>
      <w:pPr>
        <w:pStyle w:val="59"/>
        <w:ind w:left="0"/>
      </w:pPr>
      <w:bookmarkStart w:id="375" w:name="_Toc20485801"/>
      <w:bookmarkStart w:id="376" w:name="_Toc20485859"/>
      <w:r>
        <w:rPr>
          <w:rFonts w:hint="eastAsia"/>
        </w:rPr>
        <w:t>应对幼儿园内所有幼儿教师（含试用期内）、幼儿开展与幼儿园安全管理要求相适应的安全防范宣传教育培训。</w:t>
      </w:r>
    </w:p>
    <w:p>
      <w:pPr>
        <w:pStyle w:val="59"/>
        <w:ind w:left="0"/>
      </w:pPr>
      <w:r>
        <w:rPr>
          <w:rFonts w:hint="eastAsia"/>
        </w:rPr>
        <w:t>幼儿园应向与幼儿园有密切业务工作往来的相关人员、学生监护人等进行相关的安全防范宣传。</w:t>
      </w:r>
    </w:p>
    <w:p>
      <w:pPr>
        <w:pStyle w:val="59"/>
        <w:ind w:left="0"/>
      </w:pPr>
      <w:r>
        <w:rPr>
          <w:rFonts w:hint="eastAsia"/>
        </w:rPr>
        <w:t>应对安全防范管理代表、安全保卫人员开展与其工作职责相适应的专门培训，并确认达到规定的要求。</w:t>
      </w:r>
    </w:p>
    <w:p>
      <w:pPr>
        <w:pStyle w:val="38"/>
        <w:spacing w:before="156" w:after="156"/>
      </w:pPr>
      <w:bookmarkStart w:id="377" w:name="_Toc47203396"/>
      <w:bookmarkStart w:id="378" w:name="_Toc50063607"/>
      <w:bookmarkStart w:id="379" w:name="_Toc50195259"/>
      <w:bookmarkStart w:id="380" w:name="_Toc50241697"/>
      <w:bookmarkStart w:id="381" w:name="_Toc50281878"/>
      <w:r>
        <w:t>基本要求</w:t>
      </w:r>
      <w:bookmarkEnd w:id="375"/>
      <w:bookmarkEnd w:id="376"/>
      <w:bookmarkEnd w:id="377"/>
      <w:bookmarkEnd w:id="378"/>
      <w:bookmarkEnd w:id="379"/>
      <w:bookmarkEnd w:id="380"/>
      <w:bookmarkEnd w:id="381"/>
    </w:p>
    <w:p>
      <w:pPr>
        <w:pStyle w:val="59"/>
        <w:ind w:left="0"/>
      </w:pPr>
      <w:bookmarkStart w:id="382" w:name="_Toc20485802"/>
      <w:bookmarkStart w:id="383" w:name="_Toc20485860"/>
      <w:r>
        <w:rPr>
          <w:rFonts w:hint="eastAsia"/>
        </w:rPr>
        <w:t>幼儿园应提高全体教职工、家长的自救互救意识以及提高幼儿的自我保护意识，维护幼儿园、教师队伍和幼儿的生命财产安全，使全体教职工、幼儿以及家长具备安全防范的意识和技能。</w:t>
      </w:r>
    </w:p>
    <w:p>
      <w:pPr>
        <w:pStyle w:val="59"/>
        <w:ind w:left="0"/>
      </w:pPr>
      <w:r>
        <w:rPr>
          <w:rFonts w:hint="eastAsia"/>
        </w:rPr>
        <w:t>幼儿园应通过教育培训、展板、微博、微信等方式宣传预防幼儿性侵害知识，使教职工、幼儿以及家长提高预防幼儿性侵害意识。</w:t>
      </w:r>
    </w:p>
    <w:p>
      <w:pPr>
        <w:pStyle w:val="59"/>
        <w:ind w:left="0"/>
      </w:pPr>
      <w:r>
        <w:rPr>
          <w:rFonts w:hint="eastAsia"/>
        </w:rPr>
        <w:t>幼儿园应建立安全防范宣传教育培训管理办法。</w:t>
      </w:r>
    </w:p>
    <w:p>
      <w:pPr>
        <w:pStyle w:val="59"/>
        <w:ind w:left="0"/>
      </w:pPr>
      <w:r>
        <w:rPr>
          <w:rFonts w:hint="eastAsia"/>
        </w:rPr>
        <w:t>幼儿园应每季度至少开展一次应急演练，确保安全防范宣传教育培训的有效性、适应性。</w:t>
      </w:r>
    </w:p>
    <w:p>
      <w:pPr>
        <w:pStyle w:val="59"/>
        <w:ind w:left="0"/>
      </w:pPr>
      <w:r>
        <w:rPr>
          <w:rFonts w:hint="eastAsia"/>
        </w:rPr>
        <w:t>幼儿园应制定与安全管理要求、教学安排相适应的安全培训计划和方案，落实师资、教材和演练设施器材。</w:t>
      </w:r>
    </w:p>
    <w:p>
      <w:pPr>
        <w:pStyle w:val="38"/>
        <w:spacing w:before="156" w:after="156"/>
      </w:pPr>
      <w:bookmarkStart w:id="384" w:name="_Toc47203397"/>
      <w:bookmarkStart w:id="385" w:name="_Toc50063608"/>
      <w:bookmarkStart w:id="386" w:name="_Toc50195260"/>
      <w:bookmarkStart w:id="387" w:name="_Toc50241698"/>
      <w:bookmarkStart w:id="388" w:name="_Toc50281879"/>
      <w:r>
        <w:rPr>
          <w:rFonts w:hint="eastAsia"/>
        </w:rPr>
        <w:t>培训教育内容</w:t>
      </w:r>
      <w:bookmarkEnd w:id="382"/>
      <w:bookmarkEnd w:id="383"/>
      <w:bookmarkEnd w:id="384"/>
      <w:bookmarkEnd w:id="385"/>
      <w:bookmarkEnd w:id="386"/>
      <w:bookmarkEnd w:id="387"/>
      <w:bookmarkEnd w:id="388"/>
    </w:p>
    <w:p>
      <w:pPr>
        <w:pStyle w:val="59"/>
        <w:ind w:left="0"/>
      </w:pPr>
      <w:r>
        <w:rPr>
          <w:rFonts w:hint="eastAsia"/>
        </w:rPr>
        <w:t>幼儿教师、幼儿安全防范宣传教育培训内容应包括：</w:t>
      </w:r>
    </w:p>
    <w:p>
      <w:pPr>
        <w:pStyle w:val="55"/>
        <w:numPr>
          <w:ilvl w:val="0"/>
          <w:numId w:val="29"/>
        </w:numPr>
      </w:pPr>
      <w:r>
        <w:rPr>
          <w:rFonts w:hint="eastAsia"/>
        </w:rPr>
        <w:t>相关安全防范法律、法规、标准、政府机构安全防范管理文件和幼儿园安全防范管理制度；</w:t>
      </w:r>
    </w:p>
    <w:p>
      <w:pPr>
        <w:pStyle w:val="55"/>
        <w:numPr>
          <w:ilvl w:val="0"/>
          <w:numId w:val="29"/>
        </w:numPr>
      </w:pPr>
      <w:r>
        <w:rPr>
          <w:rFonts w:hint="eastAsia"/>
        </w:rPr>
        <w:t>安全风险隐患识别和规避；</w:t>
      </w:r>
    </w:p>
    <w:p>
      <w:pPr>
        <w:pStyle w:val="55"/>
        <w:numPr>
          <w:ilvl w:val="0"/>
          <w:numId w:val="29"/>
        </w:numPr>
      </w:pPr>
      <w:r>
        <w:rPr>
          <w:rFonts w:hint="eastAsia"/>
        </w:rPr>
        <w:t>安全防范信号、标志等基本知识；</w:t>
      </w:r>
    </w:p>
    <w:p>
      <w:pPr>
        <w:pStyle w:val="55"/>
        <w:numPr>
          <w:ilvl w:val="0"/>
          <w:numId w:val="29"/>
        </w:numPr>
      </w:pPr>
      <w:r>
        <w:rPr>
          <w:rFonts w:hint="eastAsia"/>
        </w:rPr>
        <w:t>疏散通道、安全出口的位置；</w:t>
      </w:r>
    </w:p>
    <w:p>
      <w:pPr>
        <w:pStyle w:val="55"/>
        <w:numPr>
          <w:ilvl w:val="0"/>
          <w:numId w:val="29"/>
        </w:numPr>
      </w:pPr>
      <w:r>
        <w:rPr>
          <w:rFonts w:hint="eastAsia"/>
        </w:rPr>
        <w:t>应急处置程序和应急处置部门的通讯方式；</w:t>
      </w:r>
    </w:p>
    <w:p>
      <w:pPr>
        <w:pStyle w:val="55"/>
        <w:numPr>
          <w:ilvl w:val="0"/>
          <w:numId w:val="29"/>
        </w:numPr>
      </w:pPr>
      <w:r>
        <w:rPr>
          <w:rFonts w:hint="eastAsia"/>
        </w:rPr>
        <w:t>可疑或反常情况正确报告（报警）方法；</w:t>
      </w:r>
    </w:p>
    <w:p>
      <w:pPr>
        <w:pStyle w:val="55"/>
        <w:numPr>
          <w:ilvl w:val="0"/>
          <w:numId w:val="29"/>
        </w:numPr>
      </w:pPr>
      <w:r>
        <w:rPr>
          <w:rFonts w:hint="eastAsia"/>
        </w:rPr>
        <w:t>证件或标识的佩带；</w:t>
      </w:r>
    </w:p>
    <w:p>
      <w:pPr>
        <w:pStyle w:val="55"/>
        <w:numPr>
          <w:ilvl w:val="0"/>
          <w:numId w:val="29"/>
        </w:numPr>
      </w:pPr>
      <w:r>
        <w:rPr>
          <w:rFonts w:hint="eastAsia"/>
        </w:rPr>
        <w:t>交通信号灯以及交通安全知识；</w:t>
      </w:r>
    </w:p>
    <w:p>
      <w:pPr>
        <w:pStyle w:val="55"/>
        <w:numPr>
          <w:ilvl w:val="0"/>
          <w:numId w:val="29"/>
        </w:numPr>
      </w:pPr>
      <w:r>
        <w:rPr>
          <w:rFonts w:hint="eastAsia"/>
        </w:rPr>
        <w:t>预防幼儿性侵害知识；</w:t>
      </w:r>
    </w:p>
    <w:p>
      <w:pPr>
        <w:pStyle w:val="55"/>
        <w:numPr>
          <w:ilvl w:val="0"/>
          <w:numId w:val="29"/>
        </w:numPr>
      </w:pPr>
      <w:r>
        <w:rPr>
          <w:rFonts w:hint="eastAsia"/>
        </w:rPr>
        <w:t>基本急救常识和防范、避险、逃生、自救的基本知识；</w:t>
      </w:r>
    </w:p>
    <w:p>
      <w:pPr>
        <w:pStyle w:val="55"/>
        <w:numPr>
          <w:ilvl w:val="0"/>
          <w:numId w:val="29"/>
        </w:numPr>
      </w:pPr>
      <w:r>
        <w:rPr>
          <w:rFonts w:hint="eastAsia"/>
        </w:rPr>
        <w:t>幼儿园根据自身情况，选择合适的方式，不定期开展安全防范疏散演练。</w:t>
      </w:r>
    </w:p>
    <w:p>
      <w:pPr>
        <w:pStyle w:val="59"/>
        <w:ind w:left="0"/>
      </w:pPr>
      <w:r>
        <w:rPr>
          <w:rFonts w:hint="eastAsia"/>
        </w:rPr>
        <w:t>安全防范管理代表、安全保卫人员教育培训内容还应包括：</w:t>
      </w:r>
    </w:p>
    <w:p>
      <w:pPr>
        <w:pStyle w:val="55"/>
        <w:numPr>
          <w:ilvl w:val="0"/>
          <w:numId w:val="30"/>
        </w:numPr>
      </w:pPr>
      <w:r>
        <w:rPr>
          <w:rFonts w:hint="eastAsia"/>
        </w:rPr>
        <w:t>安全防范管理专门的岗位、资格培训；</w:t>
      </w:r>
    </w:p>
    <w:p>
      <w:pPr>
        <w:pStyle w:val="55"/>
        <w:numPr>
          <w:ilvl w:val="0"/>
          <w:numId w:val="29"/>
        </w:numPr>
      </w:pPr>
      <w:r>
        <w:rPr>
          <w:rFonts w:hint="eastAsia"/>
        </w:rPr>
        <w:t>安全防范管理职责；</w:t>
      </w:r>
    </w:p>
    <w:p>
      <w:pPr>
        <w:pStyle w:val="55"/>
        <w:numPr>
          <w:ilvl w:val="0"/>
          <w:numId w:val="29"/>
        </w:numPr>
      </w:pPr>
      <w:r>
        <w:rPr>
          <w:rFonts w:hint="eastAsia"/>
        </w:rPr>
        <w:t>安全防范疏散的引导、指挥。</w:t>
      </w:r>
    </w:p>
    <w:p>
      <w:pPr>
        <w:pStyle w:val="125"/>
        <w:framePr/>
      </w:pPr>
      <w:r>
        <w:t>_________________________________</w:t>
      </w:r>
    </w:p>
    <w:sectPr>
      <w:pgSz w:w="11906" w:h="16838"/>
      <w:pgMar w:top="567" w:right="1134" w:bottom="1134" w:left="1417"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t>DB 45/T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DB 45/T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52887"/>
    <w:multiLevelType w:val="multilevel"/>
    <w:tmpl w:val="0A952887"/>
    <w:lvl w:ilvl="0" w:tentative="0">
      <w:start w:val="1"/>
      <w:numFmt w:val="decimal"/>
      <w:pStyle w:val="61"/>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0F805D97"/>
    <w:multiLevelType w:val="multilevel"/>
    <w:tmpl w:val="0F805D97"/>
    <w:lvl w:ilvl="0" w:tentative="0">
      <w:start w:val="1"/>
      <w:numFmt w:val="none"/>
      <w:pStyle w:val="53"/>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
    <w:nsid w:val="1FC91163"/>
    <w:multiLevelType w:val="multilevel"/>
    <w:tmpl w:val="1FC91163"/>
    <w:lvl w:ilvl="0" w:tentative="0">
      <w:start w:val="1"/>
      <w:numFmt w:val="decimal"/>
      <w:pStyle w:val="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2"/>
      <w:suff w:val="nothing"/>
      <w:lvlText w:val="%1.%2.%3　"/>
      <w:lvlJc w:val="left"/>
      <w:pPr>
        <w:ind w:left="142"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4B435DB"/>
    <w:multiLevelType w:val="multilevel"/>
    <w:tmpl w:val="24B435DB"/>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29707437"/>
    <w:multiLevelType w:val="multilevel"/>
    <w:tmpl w:val="29707437"/>
    <w:lvl w:ilvl="0" w:tentative="0">
      <w:start w:val="1"/>
      <w:numFmt w:val="none"/>
      <w:pStyle w:val="60"/>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2A8F7113"/>
    <w:multiLevelType w:val="multilevel"/>
    <w:tmpl w:val="2A8F7113"/>
    <w:lvl w:ilvl="0" w:tentative="0">
      <w:start w:val="1"/>
      <w:numFmt w:val="upperLetter"/>
      <w:pStyle w:val="94"/>
      <w:suff w:val="space"/>
      <w:lvlText w:val="%1"/>
      <w:lvlJc w:val="left"/>
      <w:pPr>
        <w:ind w:left="623" w:hanging="425"/>
      </w:pPr>
      <w:rPr>
        <w:rFonts w:hint="eastAsia"/>
      </w:rPr>
    </w:lvl>
    <w:lvl w:ilvl="1" w:tentative="0">
      <w:start w:val="1"/>
      <w:numFmt w:val="decimal"/>
      <w:pStyle w:val="9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44"/>
      <w:suff w:val="nothing"/>
      <w:lvlText w:val="%1——"/>
      <w:lvlJc w:val="left"/>
      <w:pPr>
        <w:ind w:left="833" w:hanging="408"/>
      </w:pPr>
      <w:rPr>
        <w:rFonts w:hint="eastAsia"/>
      </w:rPr>
    </w:lvl>
    <w:lvl w:ilvl="1" w:tentative="0">
      <w:start w:val="1"/>
      <w:numFmt w:val="bullet"/>
      <w:pStyle w:val="45"/>
      <w:lvlText w:val=""/>
      <w:lvlJc w:val="left"/>
      <w:pPr>
        <w:tabs>
          <w:tab w:val="left" w:pos="760"/>
        </w:tabs>
        <w:ind w:left="1264" w:hanging="413"/>
      </w:pPr>
      <w:rPr>
        <w:rFonts w:hint="default" w:ascii="Symbol" w:hAnsi="Symbol"/>
        <w:color w:val="auto"/>
      </w:rPr>
    </w:lvl>
    <w:lvl w:ilvl="2" w:tentative="0">
      <w:start w:val="1"/>
      <w:numFmt w:val="bullet"/>
      <w:pStyle w:val="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55"/>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50"/>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5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9">
    <w:nsid w:val="520F62E9"/>
    <w:multiLevelType w:val="multilevel"/>
    <w:tmpl w:val="520F62E9"/>
    <w:lvl w:ilvl="0" w:tentative="0">
      <w:start w:val="1"/>
      <w:numFmt w:val="decimal"/>
      <w:pStyle w:val="124"/>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5E63562F"/>
    <w:multiLevelType w:val="multilevel"/>
    <w:tmpl w:val="5E63562F"/>
    <w:lvl w:ilvl="0" w:tentative="0">
      <w:start w:val="1"/>
      <w:numFmt w:val="decimal"/>
      <w:pStyle w:val="54"/>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60B55DC2"/>
    <w:multiLevelType w:val="multilevel"/>
    <w:tmpl w:val="60B55DC2"/>
    <w:lvl w:ilvl="0" w:tentative="0">
      <w:start w:val="1"/>
      <w:numFmt w:val="upperLetter"/>
      <w:pStyle w:val="82"/>
      <w:lvlText w:val="%1"/>
      <w:lvlJc w:val="left"/>
      <w:pPr>
        <w:tabs>
          <w:tab w:val="left" w:pos="0"/>
        </w:tabs>
        <w:ind w:left="0" w:hanging="425"/>
      </w:pPr>
      <w:rPr>
        <w:rFonts w:hint="eastAsia"/>
      </w:rPr>
    </w:lvl>
    <w:lvl w:ilvl="1" w:tentative="0">
      <w:start w:val="1"/>
      <w:numFmt w:val="decimal"/>
      <w:pStyle w:val="8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3404DBE"/>
    <w:multiLevelType w:val="multilevel"/>
    <w:tmpl w:val="63404DBE"/>
    <w:lvl w:ilvl="0" w:tentative="0">
      <w:start w:val="1"/>
      <w:numFmt w:val="none"/>
      <w:pStyle w:val="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63AF7EBF"/>
    <w:multiLevelType w:val="multilevel"/>
    <w:tmpl w:val="63AF7EBF"/>
    <w:lvl w:ilvl="0" w:tentative="0">
      <w:start w:val="1"/>
      <w:numFmt w:val="decimal"/>
      <w:pStyle w:val="122"/>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657D3FBC"/>
    <w:multiLevelType w:val="multilevel"/>
    <w:tmpl w:val="657D3FBC"/>
    <w:lvl w:ilvl="0" w:tentative="0">
      <w:start w:val="1"/>
      <w:numFmt w:val="upperLetter"/>
      <w:pStyle w:val="8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9"/>
      <w:suff w:val="nothing"/>
      <w:lvlText w:val="%1.%2.%3　"/>
      <w:lvlJc w:val="left"/>
      <w:pPr>
        <w:ind w:left="0" w:firstLine="0"/>
      </w:pPr>
      <w:rPr>
        <w:rFonts w:hint="eastAsia" w:ascii="黑体" w:hAnsi="Times New Roman" w:eastAsia="黑体"/>
        <w:b w:val="0"/>
        <w:i w:val="0"/>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pStyle w:val="89"/>
      <w:suff w:val="nothing"/>
      <w:lvlText w:val="%1.%2.%3.%4.%5　"/>
      <w:lvlJc w:val="left"/>
      <w:pPr>
        <w:ind w:left="0" w:firstLine="0"/>
      </w:pPr>
      <w:rPr>
        <w:rFonts w:hint="eastAsia" w:ascii="黑体" w:hAnsi="Times New Roman" w:eastAsia="黑体"/>
        <w:b w:val="0"/>
        <w:i w:val="0"/>
        <w:sz w:val="21"/>
      </w:rPr>
    </w:lvl>
    <w:lvl w:ilvl="5" w:tentative="0">
      <w:start w:val="1"/>
      <w:numFmt w:val="decimal"/>
      <w:pStyle w:val="92"/>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AB870ED"/>
    <w:multiLevelType w:val="multilevel"/>
    <w:tmpl w:val="6AB870ED"/>
    <w:lvl w:ilvl="0" w:tentative="0">
      <w:start w:val="1"/>
      <w:numFmt w:val="decimal"/>
      <w:pStyle w:val="58"/>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6D6C07CD"/>
    <w:multiLevelType w:val="multilevel"/>
    <w:tmpl w:val="6D6C07CD"/>
    <w:lvl w:ilvl="0" w:tentative="0">
      <w:start w:val="1"/>
      <w:numFmt w:val="lowerLetter"/>
      <w:pStyle w:val="101"/>
      <w:lvlText w:val="%1)"/>
      <w:lvlJc w:val="left"/>
      <w:pPr>
        <w:tabs>
          <w:tab w:val="left" w:pos="839"/>
        </w:tabs>
        <w:ind w:left="839" w:hanging="419"/>
      </w:pPr>
      <w:rPr>
        <w:rFonts w:hint="eastAsia" w:ascii="宋体" w:eastAsia="宋体"/>
        <w:b w:val="0"/>
        <w:i w:val="0"/>
        <w:sz w:val="21"/>
      </w:rPr>
    </w:lvl>
    <w:lvl w:ilvl="1" w:tentative="0">
      <w:start w:val="1"/>
      <w:numFmt w:val="decimal"/>
      <w:pStyle w:val="9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7"/>
  </w:num>
  <w:num w:numId="2">
    <w:abstractNumId w:val="2"/>
  </w:num>
  <w:num w:numId="3">
    <w:abstractNumId w:val="6"/>
  </w:num>
  <w:num w:numId="4">
    <w:abstractNumId w:val="12"/>
  </w:num>
  <w:num w:numId="5">
    <w:abstractNumId w:val="8"/>
  </w:num>
  <w:num w:numId="6">
    <w:abstractNumId w:val="1"/>
  </w:num>
  <w:num w:numId="7">
    <w:abstractNumId w:val="10"/>
  </w:num>
  <w:num w:numId="8">
    <w:abstractNumId w:val="15"/>
  </w:num>
  <w:num w:numId="9">
    <w:abstractNumId w:val="4"/>
  </w:num>
  <w:num w:numId="10">
    <w:abstractNumId w:val="0"/>
  </w:num>
  <w:num w:numId="11">
    <w:abstractNumId w:val="14"/>
  </w:num>
  <w:num w:numId="12">
    <w:abstractNumId w:val="11"/>
  </w:num>
  <w:num w:numId="13">
    <w:abstractNumId w:val="16"/>
  </w:num>
  <w:num w:numId="14">
    <w:abstractNumId w:val="5"/>
  </w:num>
  <w:num w:numId="15">
    <w:abstractNumId w:val="3"/>
  </w:num>
  <w:num w:numId="16">
    <w:abstractNumId w:val="13"/>
  </w:num>
  <w:num w:numId="17">
    <w:abstractNumId w:val="9"/>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y8jMb8y55i93Iqc4y/DHfWM2diw=" w:salt="tbX5juCk57ZroxemTC5JVQ=="/>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0BB3"/>
    <w:rsid w:val="0000185F"/>
    <w:rsid w:val="00004B91"/>
    <w:rsid w:val="00004E32"/>
    <w:rsid w:val="0000586F"/>
    <w:rsid w:val="00013D86"/>
    <w:rsid w:val="00013E02"/>
    <w:rsid w:val="0002143C"/>
    <w:rsid w:val="00025A65"/>
    <w:rsid w:val="00026C31"/>
    <w:rsid w:val="00027280"/>
    <w:rsid w:val="000320A7"/>
    <w:rsid w:val="000325EA"/>
    <w:rsid w:val="00035925"/>
    <w:rsid w:val="00036C2C"/>
    <w:rsid w:val="00045A7C"/>
    <w:rsid w:val="00045FE0"/>
    <w:rsid w:val="00055371"/>
    <w:rsid w:val="00056A24"/>
    <w:rsid w:val="00057CE5"/>
    <w:rsid w:val="000607A3"/>
    <w:rsid w:val="00064688"/>
    <w:rsid w:val="000657F7"/>
    <w:rsid w:val="00067CDF"/>
    <w:rsid w:val="00074FBE"/>
    <w:rsid w:val="0007762A"/>
    <w:rsid w:val="00080D9B"/>
    <w:rsid w:val="00081F6E"/>
    <w:rsid w:val="00083A09"/>
    <w:rsid w:val="0009005E"/>
    <w:rsid w:val="000918A9"/>
    <w:rsid w:val="00092001"/>
    <w:rsid w:val="00092618"/>
    <w:rsid w:val="00092857"/>
    <w:rsid w:val="00092BD8"/>
    <w:rsid w:val="00094D36"/>
    <w:rsid w:val="000964C7"/>
    <w:rsid w:val="000979D9"/>
    <w:rsid w:val="000A20A9"/>
    <w:rsid w:val="000A48B1"/>
    <w:rsid w:val="000B1749"/>
    <w:rsid w:val="000B2F0E"/>
    <w:rsid w:val="000B3143"/>
    <w:rsid w:val="000B405D"/>
    <w:rsid w:val="000B5630"/>
    <w:rsid w:val="000B6D6D"/>
    <w:rsid w:val="000C2BE6"/>
    <w:rsid w:val="000C6B05"/>
    <w:rsid w:val="000C6DD6"/>
    <w:rsid w:val="000C73D4"/>
    <w:rsid w:val="000D1165"/>
    <w:rsid w:val="000D3D4C"/>
    <w:rsid w:val="000D4F51"/>
    <w:rsid w:val="000D718B"/>
    <w:rsid w:val="000E0C46"/>
    <w:rsid w:val="000E15EE"/>
    <w:rsid w:val="000F030C"/>
    <w:rsid w:val="000F129C"/>
    <w:rsid w:val="000F174F"/>
    <w:rsid w:val="000F6686"/>
    <w:rsid w:val="000F77CB"/>
    <w:rsid w:val="00104E29"/>
    <w:rsid w:val="001056DE"/>
    <w:rsid w:val="0011248B"/>
    <w:rsid w:val="001124C0"/>
    <w:rsid w:val="00117A25"/>
    <w:rsid w:val="00121293"/>
    <w:rsid w:val="0013175F"/>
    <w:rsid w:val="0013364D"/>
    <w:rsid w:val="001343BB"/>
    <w:rsid w:val="001512B4"/>
    <w:rsid w:val="00160664"/>
    <w:rsid w:val="001620A5"/>
    <w:rsid w:val="001635B8"/>
    <w:rsid w:val="00164E53"/>
    <w:rsid w:val="0016699D"/>
    <w:rsid w:val="001670D9"/>
    <w:rsid w:val="00175159"/>
    <w:rsid w:val="00175AD7"/>
    <w:rsid w:val="00176208"/>
    <w:rsid w:val="0017780C"/>
    <w:rsid w:val="001813B2"/>
    <w:rsid w:val="0018211B"/>
    <w:rsid w:val="00183FE1"/>
    <w:rsid w:val="001840D3"/>
    <w:rsid w:val="00184782"/>
    <w:rsid w:val="00187A8A"/>
    <w:rsid w:val="001900F8"/>
    <w:rsid w:val="0019049A"/>
    <w:rsid w:val="00191258"/>
    <w:rsid w:val="00192680"/>
    <w:rsid w:val="00193037"/>
    <w:rsid w:val="00193375"/>
    <w:rsid w:val="00193A2C"/>
    <w:rsid w:val="00193E33"/>
    <w:rsid w:val="001A288E"/>
    <w:rsid w:val="001A500F"/>
    <w:rsid w:val="001A7159"/>
    <w:rsid w:val="001B6022"/>
    <w:rsid w:val="001B6DC2"/>
    <w:rsid w:val="001B754B"/>
    <w:rsid w:val="001C08BA"/>
    <w:rsid w:val="001C149C"/>
    <w:rsid w:val="001C21AC"/>
    <w:rsid w:val="001C2883"/>
    <w:rsid w:val="001C3689"/>
    <w:rsid w:val="001C4634"/>
    <w:rsid w:val="001C47BA"/>
    <w:rsid w:val="001C59EA"/>
    <w:rsid w:val="001D406C"/>
    <w:rsid w:val="001D41EE"/>
    <w:rsid w:val="001D4BEB"/>
    <w:rsid w:val="001D4C3B"/>
    <w:rsid w:val="001D71E6"/>
    <w:rsid w:val="001E0380"/>
    <w:rsid w:val="001E0B1B"/>
    <w:rsid w:val="001E13B1"/>
    <w:rsid w:val="001E17B8"/>
    <w:rsid w:val="001E2153"/>
    <w:rsid w:val="001F3A19"/>
    <w:rsid w:val="001F6BE2"/>
    <w:rsid w:val="002009E4"/>
    <w:rsid w:val="00201053"/>
    <w:rsid w:val="0020251B"/>
    <w:rsid w:val="0020319D"/>
    <w:rsid w:val="002073D3"/>
    <w:rsid w:val="00215D48"/>
    <w:rsid w:val="0021624B"/>
    <w:rsid w:val="002166A7"/>
    <w:rsid w:val="0022185E"/>
    <w:rsid w:val="00223288"/>
    <w:rsid w:val="00224A86"/>
    <w:rsid w:val="00227FED"/>
    <w:rsid w:val="0023030A"/>
    <w:rsid w:val="00230F08"/>
    <w:rsid w:val="00231715"/>
    <w:rsid w:val="00234467"/>
    <w:rsid w:val="00235BE6"/>
    <w:rsid w:val="00237D8D"/>
    <w:rsid w:val="00241DA2"/>
    <w:rsid w:val="00242372"/>
    <w:rsid w:val="00247FEE"/>
    <w:rsid w:val="00250E7D"/>
    <w:rsid w:val="002523DB"/>
    <w:rsid w:val="002527DD"/>
    <w:rsid w:val="00252DAA"/>
    <w:rsid w:val="002565D5"/>
    <w:rsid w:val="002622C0"/>
    <w:rsid w:val="00272CFC"/>
    <w:rsid w:val="00272D41"/>
    <w:rsid w:val="002778AE"/>
    <w:rsid w:val="0028269A"/>
    <w:rsid w:val="00283590"/>
    <w:rsid w:val="00286973"/>
    <w:rsid w:val="00287674"/>
    <w:rsid w:val="002938A4"/>
    <w:rsid w:val="00294E70"/>
    <w:rsid w:val="002954B8"/>
    <w:rsid w:val="00295CA3"/>
    <w:rsid w:val="002961D8"/>
    <w:rsid w:val="002967B2"/>
    <w:rsid w:val="002978EE"/>
    <w:rsid w:val="002A1924"/>
    <w:rsid w:val="002A55D3"/>
    <w:rsid w:val="002A7420"/>
    <w:rsid w:val="002A7A7E"/>
    <w:rsid w:val="002B0F12"/>
    <w:rsid w:val="002B1308"/>
    <w:rsid w:val="002B4554"/>
    <w:rsid w:val="002B707C"/>
    <w:rsid w:val="002B7C00"/>
    <w:rsid w:val="002C72D8"/>
    <w:rsid w:val="002D11FA"/>
    <w:rsid w:val="002D19A4"/>
    <w:rsid w:val="002D26E2"/>
    <w:rsid w:val="002D36ED"/>
    <w:rsid w:val="002D3C2E"/>
    <w:rsid w:val="002D6352"/>
    <w:rsid w:val="002E0DDF"/>
    <w:rsid w:val="002E2906"/>
    <w:rsid w:val="002E2FFE"/>
    <w:rsid w:val="002E5635"/>
    <w:rsid w:val="002E64C3"/>
    <w:rsid w:val="002E6A2C"/>
    <w:rsid w:val="002F035E"/>
    <w:rsid w:val="002F0FE8"/>
    <w:rsid w:val="002F1D8C"/>
    <w:rsid w:val="002F21DA"/>
    <w:rsid w:val="002F34B8"/>
    <w:rsid w:val="00301F39"/>
    <w:rsid w:val="00302C55"/>
    <w:rsid w:val="00303D27"/>
    <w:rsid w:val="00305BEE"/>
    <w:rsid w:val="00313962"/>
    <w:rsid w:val="003234E0"/>
    <w:rsid w:val="003253A3"/>
    <w:rsid w:val="00325926"/>
    <w:rsid w:val="00327A8A"/>
    <w:rsid w:val="00331C09"/>
    <w:rsid w:val="003328D3"/>
    <w:rsid w:val="003339A3"/>
    <w:rsid w:val="00336610"/>
    <w:rsid w:val="00340E82"/>
    <w:rsid w:val="00341F5C"/>
    <w:rsid w:val="003421F5"/>
    <w:rsid w:val="00343BE8"/>
    <w:rsid w:val="00343D23"/>
    <w:rsid w:val="00343F73"/>
    <w:rsid w:val="00345060"/>
    <w:rsid w:val="003451FB"/>
    <w:rsid w:val="00347F1B"/>
    <w:rsid w:val="00352629"/>
    <w:rsid w:val="0035323B"/>
    <w:rsid w:val="00353D19"/>
    <w:rsid w:val="0035785A"/>
    <w:rsid w:val="003609D2"/>
    <w:rsid w:val="00363F22"/>
    <w:rsid w:val="00364940"/>
    <w:rsid w:val="00367E18"/>
    <w:rsid w:val="003752D0"/>
    <w:rsid w:val="00375564"/>
    <w:rsid w:val="00376489"/>
    <w:rsid w:val="003812C2"/>
    <w:rsid w:val="003820C8"/>
    <w:rsid w:val="00383191"/>
    <w:rsid w:val="00384E0F"/>
    <w:rsid w:val="00386DED"/>
    <w:rsid w:val="003912E7"/>
    <w:rsid w:val="00393947"/>
    <w:rsid w:val="003945AD"/>
    <w:rsid w:val="00395141"/>
    <w:rsid w:val="003A1383"/>
    <w:rsid w:val="003A2275"/>
    <w:rsid w:val="003A2DC3"/>
    <w:rsid w:val="003A30A9"/>
    <w:rsid w:val="003A6A4F"/>
    <w:rsid w:val="003A7088"/>
    <w:rsid w:val="003B00DF"/>
    <w:rsid w:val="003B1275"/>
    <w:rsid w:val="003B1778"/>
    <w:rsid w:val="003B50FB"/>
    <w:rsid w:val="003C11CB"/>
    <w:rsid w:val="003C3017"/>
    <w:rsid w:val="003C6A77"/>
    <w:rsid w:val="003C75F3"/>
    <w:rsid w:val="003C78A3"/>
    <w:rsid w:val="003D36AB"/>
    <w:rsid w:val="003D40AD"/>
    <w:rsid w:val="003D6584"/>
    <w:rsid w:val="003E1867"/>
    <w:rsid w:val="003E4791"/>
    <w:rsid w:val="003E5729"/>
    <w:rsid w:val="003E724E"/>
    <w:rsid w:val="003F1D40"/>
    <w:rsid w:val="003F22A2"/>
    <w:rsid w:val="003F22BB"/>
    <w:rsid w:val="003F2A5B"/>
    <w:rsid w:val="003F4EE0"/>
    <w:rsid w:val="003F5559"/>
    <w:rsid w:val="00400473"/>
    <w:rsid w:val="00402153"/>
    <w:rsid w:val="00402E26"/>
    <w:rsid w:val="00402FC1"/>
    <w:rsid w:val="004104DE"/>
    <w:rsid w:val="004200D9"/>
    <w:rsid w:val="00425082"/>
    <w:rsid w:val="004251CA"/>
    <w:rsid w:val="00431DEB"/>
    <w:rsid w:val="0044259D"/>
    <w:rsid w:val="004432D7"/>
    <w:rsid w:val="004439D9"/>
    <w:rsid w:val="00445582"/>
    <w:rsid w:val="00446B29"/>
    <w:rsid w:val="004524BE"/>
    <w:rsid w:val="00453F9A"/>
    <w:rsid w:val="00454CC3"/>
    <w:rsid w:val="00456692"/>
    <w:rsid w:val="00464903"/>
    <w:rsid w:val="00471E91"/>
    <w:rsid w:val="00474079"/>
    <w:rsid w:val="00474675"/>
    <w:rsid w:val="0047470C"/>
    <w:rsid w:val="00476F27"/>
    <w:rsid w:val="00484C88"/>
    <w:rsid w:val="004A203E"/>
    <w:rsid w:val="004A35F9"/>
    <w:rsid w:val="004A4662"/>
    <w:rsid w:val="004A7E02"/>
    <w:rsid w:val="004B10CC"/>
    <w:rsid w:val="004B157A"/>
    <w:rsid w:val="004B24C1"/>
    <w:rsid w:val="004B3092"/>
    <w:rsid w:val="004B49B1"/>
    <w:rsid w:val="004B557C"/>
    <w:rsid w:val="004B5FEA"/>
    <w:rsid w:val="004C13C3"/>
    <w:rsid w:val="004C292F"/>
    <w:rsid w:val="004C54A3"/>
    <w:rsid w:val="004C657F"/>
    <w:rsid w:val="004D306F"/>
    <w:rsid w:val="004D4B02"/>
    <w:rsid w:val="004E17B8"/>
    <w:rsid w:val="004E1E6E"/>
    <w:rsid w:val="004E4B13"/>
    <w:rsid w:val="004E4B8C"/>
    <w:rsid w:val="004E5A47"/>
    <w:rsid w:val="004F109B"/>
    <w:rsid w:val="005036E2"/>
    <w:rsid w:val="00510280"/>
    <w:rsid w:val="005138DE"/>
    <w:rsid w:val="00513D73"/>
    <w:rsid w:val="005148B3"/>
    <w:rsid w:val="00514A43"/>
    <w:rsid w:val="00515E9C"/>
    <w:rsid w:val="005174E5"/>
    <w:rsid w:val="00520898"/>
    <w:rsid w:val="00522393"/>
    <w:rsid w:val="00522620"/>
    <w:rsid w:val="00525656"/>
    <w:rsid w:val="00525BF3"/>
    <w:rsid w:val="00534C02"/>
    <w:rsid w:val="0054044C"/>
    <w:rsid w:val="0054264B"/>
    <w:rsid w:val="00543786"/>
    <w:rsid w:val="00545A49"/>
    <w:rsid w:val="005463CC"/>
    <w:rsid w:val="00546D0D"/>
    <w:rsid w:val="0055153A"/>
    <w:rsid w:val="005533D7"/>
    <w:rsid w:val="00554B63"/>
    <w:rsid w:val="005625CE"/>
    <w:rsid w:val="00562CF6"/>
    <w:rsid w:val="0056544B"/>
    <w:rsid w:val="00567177"/>
    <w:rsid w:val="005672F1"/>
    <w:rsid w:val="005703DE"/>
    <w:rsid w:val="005710BC"/>
    <w:rsid w:val="005755F1"/>
    <w:rsid w:val="005804AE"/>
    <w:rsid w:val="00582AF0"/>
    <w:rsid w:val="00582BBE"/>
    <w:rsid w:val="0058464E"/>
    <w:rsid w:val="0058650E"/>
    <w:rsid w:val="00590E6B"/>
    <w:rsid w:val="00592B58"/>
    <w:rsid w:val="00597317"/>
    <w:rsid w:val="005A01CB"/>
    <w:rsid w:val="005A19A9"/>
    <w:rsid w:val="005A3F1C"/>
    <w:rsid w:val="005A58FF"/>
    <w:rsid w:val="005A5EAF"/>
    <w:rsid w:val="005A6491"/>
    <w:rsid w:val="005A64C0"/>
    <w:rsid w:val="005B1985"/>
    <w:rsid w:val="005B1ECC"/>
    <w:rsid w:val="005B3C11"/>
    <w:rsid w:val="005B73B3"/>
    <w:rsid w:val="005C1C28"/>
    <w:rsid w:val="005C43D0"/>
    <w:rsid w:val="005C6DB5"/>
    <w:rsid w:val="005D3842"/>
    <w:rsid w:val="005E19E7"/>
    <w:rsid w:val="005E1CC8"/>
    <w:rsid w:val="005E2392"/>
    <w:rsid w:val="005E4057"/>
    <w:rsid w:val="005F78DF"/>
    <w:rsid w:val="00601622"/>
    <w:rsid w:val="006046E8"/>
    <w:rsid w:val="00604EC8"/>
    <w:rsid w:val="006064A7"/>
    <w:rsid w:val="006077E1"/>
    <w:rsid w:val="0061037E"/>
    <w:rsid w:val="00613FAA"/>
    <w:rsid w:val="00616C36"/>
    <w:rsid w:val="0061716C"/>
    <w:rsid w:val="006171AF"/>
    <w:rsid w:val="0061775E"/>
    <w:rsid w:val="00617868"/>
    <w:rsid w:val="006243A1"/>
    <w:rsid w:val="0062574D"/>
    <w:rsid w:val="00626005"/>
    <w:rsid w:val="00632AC9"/>
    <w:rsid w:val="00632E56"/>
    <w:rsid w:val="00633D76"/>
    <w:rsid w:val="00634768"/>
    <w:rsid w:val="00635CBA"/>
    <w:rsid w:val="00636EFC"/>
    <w:rsid w:val="006415F4"/>
    <w:rsid w:val="0064338B"/>
    <w:rsid w:val="00646542"/>
    <w:rsid w:val="006504F4"/>
    <w:rsid w:val="00652800"/>
    <w:rsid w:val="0065366F"/>
    <w:rsid w:val="00653F8F"/>
    <w:rsid w:val="00654BC9"/>
    <w:rsid w:val="006552FD"/>
    <w:rsid w:val="006556AD"/>
    <w:rsid w:val="00656F0B"/>
    <w:rsid w:val="006574CC"/>
    <w:rsid w:val="00663733"/>
    <w:rsid w:val="00663AF3"/>
    <w:rsid w:val="00666B6C"/>
    <w:rsid w:val="00677B54"/>
    <w:rsid w:val="0068236C"/>
    <w:rsid w:val="00682682"/>
    <w:rsid w:val="00682702"/>
    <w:rsid w:val="0068556E"/>
    <w:rsid w:val="00690B2C"/>
    <w:rsid w:val="00692368"/>
    <w:rsid w:val="00695192"/>
    <w:rsid w:val="0069649F"/>
    <w:rsid w:val="006A2EBC"/>
    <w:rsid w:val="006A5EA0"/>
    <w:rsid w:val="006A783B"/>
    <w:rsid w:val="006A7B33"/>
    <w:rsid w:val="006B4E13"/>
    <w:rsid w:val="006B75DD"/>
    <w:rsid w:val="006C047C"/>
    <w:rsid w:val="006C166E"/>
    <w:rsid w:val="006C3D8B"/>
    <w:rsid w:val="006C67E0"/>
    <w:rsid w:val="006C7ABA"/>
    <w:rsid w:val="006D0A13"/>
    <w:rsid w:val="006D0D60"/>
    <w:rsid w:val="006D1122"/>
    <w:rsid w:val="006D2482"/>
    <w:rsid w:val="006D317E"/>
    <w:rsid w:val="006D3B1E"/>
    <w:rsid w:val="006D3C00"/>
    <w:rsid w:val="006D4B38"/>
    <w:rsid w:val="006E06AD"/>
    <w:rsid w:val="006E3675"/>
    <w:rsid w:val="006E4A7F"/>
    <w:rsid w:val="006F0967"/>
    <w:rsid w:val="006F2274"/>
    <w:rsid w:val="006F64A0"/>
    <w:rsid w:val="0070038F"/>
    <w:rsid w:val="0070188F"/>
    <w:rsid w:val="007027B1"/>
    <w:rsid w:val="0070286C"/>
    <w:rsid w:val="00704DF6"/>
    <w:rsid w:val="0070651C"/>
    <w:rsid w:val="00706EC0"/>
    <w:rsid w:val="00710065"/>
    <w:rsid w:val="007132A3"/>
    <w:rsid w:val="00716421"/>
    <w:rsid w:val="00721419"/>
    <w:rsid w:val="00721420"/>
    <w:rsid w:val="00724EFB"/>
    <w:rsid w:val="00726575"/>
    <w:rsid w:val="00730310"/>
    <w:rsid w:val="00740A49"/>
    <w:rsid w:val="007419C3"/>
    <w:rsid w:val="00746559"/>
    <w:rsid w:val="007467A7"/>
    <w:rsid w:val="007469DD"/>
    <w:rsid w:val="00746AF5"/>
    <w:rsid w:val="0074741B"/>
    <w:rsid w:val="0074759E"/>
    <w:rsid w:val="007478EA"/>
    <w:rsid w:val="0075415C"/>
    <w:rsid w:val="00757097"/>
    <w:rsid w:val="00761E8B"/>
    <w:rsid w:val="00763502"/>
    <w:rsid w:val="00773592"/>
    <w:rsid w:val="0077611C"/>
    <w:rsid w:val="007860A2"/>
    <w:rsid w:val="007913AB"/>
    <w:rsid w:val="007914F7"/>
    <w:rsid w:val="00795C73"/>
    <w:rsid w:val="007962BD"/>
    <w:rsid w:val="007A4809"/>
    <w:rsid w:val="007B1625"/>
    <w:rsid w:val="007B706E"/>
    <w:rsid w:val="007B71EB"/>
    <w:rsid w:val="007C0748"/>
    <w:rsid w:val="007C6205"/>
    <w:rsid w:val="007C686A"/>
    <w:rsid w:val="007C728E"/>
    <w:rsid w:val="007D0BE0"/>
    <w:rsid w:val="007D204F"/>
    <w:rsid w:val="007D2C53"/>
    <w:rsid w:val="007D3D60"/>
    <w:rsid w:val="007D3E84"/>
    <w:rsid w:val="007E0E13"/>
    <w:rsid w:val="007E1980"/>
    <w:rsid w:val="007E3A84"/>
    <w:rsid w:val="007E4B76"/>
    <w:rsid w:val="007E5043"/>
    <w:rsid w:val="007E5EA8"/>
    <w:rsid w:val="007F0CF1"/>
    <w:rsid w:val="007F12A5"/>
    <w:rsid w:val="007F2D74"/>
    <w:rsid w:val="007F3FB7"/>
    <w:rsid w:val="007F4CF1"/>
    <w:rsid w:val="007F758D"/>
    <w:rsid w:val="007F7D52"/>
    <w:rsid w:val="00800955"/>
    <w:rsid w:val="0080484A"/>
    <w:rsid w:val="00805589"/>
    <w:rsid w:val="008057A5"/>
    <w:rsid w:val="00805E2F"/>
    <w:rsid w:val="0080654C"/>
    <w:rsid w:val="008071C6"/>
    <w:rsid w:val="00817A00"/>
    <w:rsid w:val="00820B95"/>
    <w:rsid w:val="00825891"/>
    <w:rsid w:val="00831631"/>
    <w:rsid w:val="0083228D"/>
    <w:rsid w:val="00833D07"/>
    <w:rsid w:val="00833D7B"/>
    <w:rsid w:val="00835DB3"/>
    <w:rsid w:val="0083617B"/>
    <w:rsid w:val="00836342"/>
    <w:rsid w:val="00836A2D"/>
    <w:rsid w:val="008371BD"/>
    <w:rsid w:val="00837323"/>
    <w:rsid w:val="00840EBF"/>
    <w:rsid w:val="008450DC"/>
    <w:rsid w:val="008504A8"/>
    <w:rsid w:val="00851312"/>
    <w:rsid w:val="00851B58"/>
    <w:rsid w:val="0085282E"/>
    <w:rsid w:val="00861BC8"/>
    <w:rsid w:val="008645A3"/>
    <w:rsid w:val="00864937"/>
    <w:rsid w:val="0087198C"/>
    <w:rsid w:val="00872C1F"/>
    <w:rsid w:val="00873B42"/>
    <w:rsid w:val="00874BF3"/>
    <w:rsid w:val="00877CB0"/>
    <w:rsid w:val="008805AC"/>
    <w:rsid w:val="00880D1A"/>
    <w:rsid w:val="00884468"/>
    <w:rsid w:val="008856D8"/>
    <w:rsid w:val="008859F0"/>
    <w:rsid w:val="00891249"/>
    <w:rsid w:val="00892E82"/>
    <w:rsid w:val="00893277"/>
    <w:rsid w:val="00895FA9"/>
    <w:rsid w:val="008A1035"/>
    <w:rsid w:val="008A2B78"/>
    <w:rsid w:val="008A6E08"/>
    <w:rsid w:val="008C0BE9"/>
    <w:rsid w:val="008C1B58"/>
    <w:rsid w:val="008C39AE"/>
    <w:rsid w:val="008C40DF"/>
    <w:rsid w:val="008C590D"/>
    <w:rsid w:val="008C69A3"/>
    <w:rsid w:val="008D447E"/>
    <w:rsid w:val="008D7566"/>
    <w:rsid w:val="008E0184"/>
    <w:rsid w:val="008E031B"/>
    <w:rsid w:val="008E0560"/>
    <w:rsid w:val="008E2D8C"/>
    <w:rsid w:val="008E7029"/>
    <w:rsid w:val="008E7844"/>
    <w:rsid w:val="008E7EF6"/>
    <w:rsid w:val="008F1F98"/>
    <w:rsid w:val="008F2340"/>
    <w:rsid w:val="008F2790"/>
    <w:rsid w:val="008F6758"/>
    <w:rsid w:val="009011B3"/>
    <w:rsid w:val="009034D9"/>
    <w:rsid w:val="009040DD"/>
    <w:rsid w:val="00905B47"/>
    <w:rsid w:val="00906783"/>
    <w:rsid w:val="0090690F"/>
    <w:rsid w:val="00911391"/>
    <w:rsid w:val="0091331C"/>
    <w:rsid w:val="009137BD"/>
    <w:rsid w:val="0091503D"/>
    <w:rsid w:val="009150FB"/>
    <w:rsid w:val="009279DE"/>
    <w:rsid w:val="00927AB9"/>
    <w:rsid w:val="00927B37"/>
    <w:rsid w:val="00930116"/>
    <w:rsid w:val="00930625"/>
    <w:rsid w:val="0093239C"/>
    <w:rsid w:val="00941082"/>
    <w:rsid w:val="0094212C"/>
    <w:rsid w:val="00944853"/>
    <w:rsid w:val="00945456"/>
    <w:rsid w:val="0094609D"/>
    <w:rsid w:val="0095378C"/>
    <w:rsid w:val="00954689"/>
    <w:rsid w:val="0095472A"/>
    <w:rsid w:val="0096085A"/>
    <w:rsid w:val="009617C9"/>
    <w:rsid w:val="00961C93"/>
    <w:rsid w:val="00962B4E"/>
    <w:rsid w:val="009639EA"/>
    <w:rsid w:val="00965324"/>
    <w:rsid w:val="0097091E"/>
    <w:rsid w:val="009760D3"/>
    <w:rsid w:val="00977132"/>
    <w:rsid w:val="009778A7"/>
    <w:rsid w:val="009816E1"/>
    <w:rsid w:val="00981A4B"/>
    <w:rsid w:val="00982250"/>
    <w:rsid w:val="00982501"/>
    <w:rsid w:val="00982BF5"/>
    <w:rsid w:val="00983D33"/>
    <w:rsid w:val="009877D3"/>
    <w:rsid w:val="00994E8F"/>
    <w:rsid w:val="009951DC"/>
    <w:rsid w:val="009959BB"/>
    <w:rsid w:val="00997158"/>
    <w:rsid w:val="009A0827"/>
    <w:rsid w:val="009A3A7C"/>
    <w:rsid w:val="009A5D33"/>
    <w:rsid w:val="009A7D84"/>
    <w:rsid w:val="009B2323"/>
    <w:rsid w:val="009B2ADB"/>
    <w:rsid w:val="009B603A"/>
    <w:rsid w:val="009C2D0E"/>
    <w:rsid w:val="009C3DAC"/>
    <w:rsid w:val="009C42E0"/>
    <w:rsid w:val="009D3230"/>
    <w:rsid w:val="009D5036"/>
    <w:rsid w:val="009D5362"/>
    <w:rsid w:val="009E0A05"/>
    <w:rsid w:val="009E1415"/>
    <w:rsid w:val="009E159B"/>
    <w:rsid w:val="009E6116"/>
    <w:rsid w:val="009E7E25"/>
    <w:rsid w:val="00A02E43"/>
    <w:rsid w:val="00A05368"/>
    <w:rsid w:val="00A065F9"/>
    <w:rsid w:val="00A07011"/>
    <w:rsid w:val="00A07ADE"/>
    <w:rsid w:val="00A07F34"/>
    <w:rsid w:val="00A22154"/>
    <w:rsid w:val="00A22321"/>
    <w:rsid w:val="00A24058"/>
    <w:rsid w:val="00A24845"/>
    <w:rsid w:val="00A25C38"/>
    <w:rsid w:val="00A32116"/>
    <w:rsid w:val="00A35824"/>
    <w:rsid w:val="00A36BBE"/>
    <w:rsid w:val="00A37C20"/>
    <w:rsid w:val="00A40D9E"/>
    <w:rsid w:val="00A41DF7"/>
    <w:rsid w:val="00A420B1"/>
    <w:rsid w:val="00A42ECA"/>
    <w:rsid w:val="00A4307A"/>
    <w:rsid w:val="00A46DEF"/>
    <w:rsid w:val="00A47EBB"/>
    <w:rsid w:val="00A51CDD"/>
    <w:rsid w:val="00A563F8"/>
    <w:rsid w:val="00A56BBA"/>
    <w:rsid w:val="00A63E49"/>
    <w:rsid w:val="00A6730D"/>
    <w:rsid w:val="00A675BF"/>
    <w:rsid w:val="00A71625"/>
    <w:rsid w:val="00A71B9B"/>
    <w:rsid w:val="00A751C7"/>
    <w:rsid w:val="00A80008"/>
    <w:rsid w:val="00A84CE5"/>
    <w:rsid w:val="00A87844"/>
    <w:rsid w:val="00A9227B"/>
    <w:rsid w:val="00A97A55"/>
    <w:rsid w:val="00AA038C"/>
    <w:rsid w:val="00AA6BFB"/>
    <w:rsid w:val="00AA7A09"/>
    <w:rsid w:val="00AA7D27"/>
    <w:rsid w:val="00AB3B50"/>
    <w:rsid w:val="00AC05B1"/>
    <w:rsid w:val="00AC450C"/>
    <w:rsid w:val="00AD340B"/>
    <w:rsid w:val="00AD356C"/>
    <w:rsid w:val="00AD36D9"/>
    <w:rsid w:val="00AE2427"/>
    <w:rsid w:val="00AE2914"/>
    <w:rsid w:val="00AE6D15"/>
    <w:rsid w:val="00AE7023"/>
    <w:rsid w:val="00AE78AA"/>
    <w:rsid w:val="00AF0EF3"/>
    <w:rsid w:val="00AF1F49"/>
    <w:rsid w:val="00AF2D81"/>
    <w:rsid w:val="00B04182"/>
    <w:rsid w:val="00B05ECF"/>
    <w:rsid w:val="00B05FC5"/>
    <w:rsid w:val="00B07AE3"/>
    <w:rsid w:val="00B11430"/>
    <w:rsid w:val="00B12A5D"/>
    <w:rsid w:val="00B242F4"/>
    <w:rsid w:val="00B2477A"/>
    <w:rsid w:val="00B24D1C"/>
    <w:rsid w:val="00B30072"/>
    <w:rsid w:val="00B30481"/>
    <w:rsid w:val="00B3312F"/>
    <w:rsid w:val="00B353EB"/>
    <w:rsid w:val="00B4016F"/>
    <w:rsid w:val="00B407AC"/>
    <w:rsid w:val="00B439C4"/>
    <w:rsid w:val="00B4535E"/>
    <w:rsid w:val="00B52A8C"/>
    <w:rsid w:val="00B54707"/>
    <w:rsid w:val="00B56155"/>
    <w:rsid w:val="00B62F11"/>
    <w:rsid w:val="00B63042"/>
    <w:rsid w:val="00B636A8"/>
    <w:rsid w:val="00B637E6"/>
    <w:rsid w:val="00B665C6"/>
    <w:rsid w:val="00B72A85"/>
    <w:rsid w:val="00B72AD8"/>
    <w:rsid w:val="00B74113"/>
    <w:rsid w:val="00B74441"/>
    <w:rsid w:val="00B758A5"/>
    <w:rsid w:val="00B76BFC"/>
    <w:rsid w:val="00B805AF"/>
    <w:rsid w:val="00B82BD5"/>
    <w:rsid w:val="00B869EC"/>
    <w:rsid w:val="00B91F5C"/>
    <w:rsid w:val="00B93593"/>
    <w:rsid w:val="00B9397A"/>
    <w:rsid w:val="00B9633D"/>
    <w:rsid w:val="00B967D5"/>
    <w:rsid w:val="00BA2EBE"/>
    <w:rsid w:val="00BA3FD2"/>
    <w:rsid w:val="00BB0F28"/>
    <w:rsid w:val="00BB182F"/>
    <w:rsid w:val="00BB458A"/>
    <w:rsid w:val="00BB693F"/>
    <w:rsid w:val="00BC5953"/>
    <w:rsid w:val="00BD00D3"/>
    <w:rsid w:val="00BD1659"/>
    <w:rsid w:val="00BD3AA9"/>
    <w:rsid w:val="00BD4A18"/>
    <w:rsid w:val="00BD6DB2"/>
    <w:rsid w:val="00BD73A1"/>
    <w:rsid w:val="00BE11CF"/>
    <w:rsid w:val="00BE21AB"/>
    <w:rsid w:val="00BE55CB"/>
    <w:rsid w:val="00BE7067"/>
    <w:rsid w:val="00BF3464"/>
    <w:rsid w:val="00BF3BB2"/>
    <w:rsid w:val="00BF617A"/>
    <w:rsid w:val="00C0379D"/>
    <w:rsid w:val="00C03931"/>
    <w:rsid w:val="00C05FE3"/>
    <w:rsid w:val="00C11DA9"/>
    <w:rsid w:val="00C152A0"/>
    <w:rsid w:val="00C2136D"/>
    <w:rsid w:val="00C214EE"/>
    <w:rsid w:val="00C2314B"/>
    <w:rsid w:val="00C244A0"/>
    <w:rsid w:val="00C24971"/>
    <w:rsid w:val="00C25355"/>
    <w:rsid w:val="00C26BE5"/>
    <w:rsid w:val="00C26E4D"/>
    <w:rsid w:val="00C27909"/>
    <w:rsid w:val="00C27B03"/>
    <w:rsid w:val="00C314E1"/>
    <w:rsid w:val="00C329A4"/>
    <w:rsid w:val="00C34397"/>
    <w:rsid w:val="00C40503"/>
    <w:rsid w:val="00C4095D"/>
    <w:rsid w:val="00C45425"/>
    <w:rsid w:val="00C45AD9"/>
    <w:rsid w:val="00C540CD"/>
    <w:rsid w:val="00C57A9C"/>
    <w:rsid w:val="00C601D2"/>
    <w:rsid w:val="00C65BCC"/>
    <w:rsid w:val="00C666E9"/>
    <w:rsid w:val="00C66970"/>
    <w:rsid w:val="00C71F4D"/>
    <w:rsid w:val="00C8691C"/>
    <w:rsid w:val="00C86CB4"/>
    <w:rsid w:val="00C93C09"/>
    <w:rsid w:val="00C96295"/>
    <w:rsid w:val="00C96364"/>
    <w:rsid w:val="00CA03DF"/>
    <w:rsid w:val="00CA168A"/>
    <w:rsid w:val="00CA2097"/>
    <w:rsid w:val="00CA357E"/>
    <w:rsid w:val="00CA44F9"/>
    <w:rsid w:val="00CA4A69"/>
    <w:rsid w:val="00CB722E"/>
    <w:rsid w:val="00CC3E0C"/>
    <w:rsid w:val="00CC58D3"/>
    <w:rsid w:val="00CC784D"/>
    <w:rsid w:val="00CF1E15"/>
    <w:rsid w:val="00D00A8D"/>
    <w:rsid w:val="00D03268"/>
    <w:rsid w:val="00D0337B"/>
    <w:rsid w:val="00D03DCE"/>
    <w:rsid w:val="00D0696A"/>
    <w:rsid w:val="00D07777"/>
    <w:rsid w:val="00D079B2"/>
    <w:rsid w:val="00D114E9"/>
    <w:rsid w:val="00D17CD8"/>
    <w:rsid w:val="00D231FF"/>
    <w:rsid w:val="00D2527C"/>
    <w:rsid w:val="00D313B3"/>
    <w:rsid w:val="00D35B8E"/>
    <w:rsid w:val="00D4005F"/>
    <w:rsid w:val="00D40F07"/>
    <w:rsid w:val="00D429C6"/>
    <w:rsid w:val="00D4760A"/>
    <w:rsid w:val="00D47748"/>
    <w:rsid w:val="00D478F1"/>
    <w:rsid w:val="00D5178F"/>
    <w:rsid w:val="00D518DF"/>
    <w:rsid w:val="00D54CC3"/>
    <w:rsid w:val="00D57A45"/>
    <w:rsid w:val="00D6041A"/>
    <w:rsid w:val="00D61258"/>
    <w:rsid w:val="00D633EB"/>
    <w:rsid w:val="00D63CB0"/>
    <w:rsid w:val="00D6438A"/>
    <w:rsid w:val="00D736AC"/>
    <w:rsid w:val="00D7420F"/>
    <w:rsid w:val="00D747AA"/>
    <w:rsid w:val="00D75A7E"/>
    <w:rsid w:val="00D801E9"/>
    <w:rsid w:val="00D82FF7"/>
    <w:rsid w:val="00D847FE"/>
    <w:rsid w:val="00D86B9C"/>
    <w:rsid w:val="00D86F3E"/>
    <w:rsid w:val="00D900CD"/>
    <w:rsid w:val="00D90A39"/>
    <w:rsid w:val="00D9342C"/>
    <w:rsid w:val="00D964EA"/>
    <w:rsid w:val="00D966D0"/>
    <w:rsid w:val="00DA0C59"/>
    <w:rsid w:val="00DA13B7"/>
    <w:rsid w:val="00DA3991"/>
    <w:rsid w:val="00DA48B3"/>
    <w:rsid w:val="00DA72A1"/>
    <w:rsid w:val="00DA7F95"/>
    <w:rsid w:val="00DB01F1"/>
    <w:rsid w:val="00DB3222"/>
    <w:rsid w:val="00DB573C"/>
    <w:rsid w:val="00DB792E"/>
    <w:rsid w:val="00DB7E6C"/>
    <w:rsid w:val="00DC4F68"/>
    <w:rsid w:val="00DC5D30"/>
    <w:rsid w:val="00DC64B0"/>
    <w:rsid w:val="00DD252A"/>
    <w:rsid w:val="00DD4160"/>
    <w:rsid w:val="00DD5949"/>
    <w:rsid w:val="00DD5A29"/>
    <w:rsid w:val="00DD5D9D"/>
    <w:rsid w:val="00DE35CB"/>
    <w:rsid w:val="00DF0EF0"/>
    <w:rsid w:val="00DF21E9"/>
    <w:rsid w:val="00DF22C7"/>
    <w:rsid w:val="00DF5CC9"/>
    <w:rsid w:val="00DF68DE"/>
    <w:rsid w:val="00E00F14"/>
    <w:rsid w:val="00E01CB8"/>
    <w:rsid w:val="00E032B4"/>
    <w:rsid w:val="00E06386"/>
    <w:rsid w:val="00E075C5"/>
    <w:rsid w:val="00E1051A"/>
    <w:rsid w:val="00E11668"/>
    <w:rsid w:val="00E118E7"/>
    <w:rsid w:val="00E122B7"/>
    <w:rsid w:val="00E202A1"/>
    <w:rsid w:val="00E20C35"/>
    <w:rsid w:val="00E21B55"/>
    <w:rsid w:val="00E221D3"/>
    <w:rsid w:val="00E24EB4"/>
    <w:rsid w:val="00E259E2"/>
    <w:rsid w:val="00E30635"/>
    <w:rsid w:val="00E320ED"/>
    <w:rsid w:val="00E33AFB"/>
    <w:rsid w:val="00E34218"/>
    <w:rsid w:val="00E4555B"/>
    <w:rsid w:val="00E46282"/>
    <w:rsid w:val="00E5216E"/>
    <w:rsid w:val="00E5529C"/>
    <w:rsid w:val="00E57F3F"/>
    <w:rsid w:val="00E657C6"/>
    <w:rsid w:val="00E6636B"/>
    <w:rsid w:val="00E75D40"/>
    <w:rsid w:val="00E81965"/>
    <w:rsid w:val="00E82344"/>
    <w:rsid w:val="00E84C82"/>
    <w:rsid w:val="00E84D64"/>
    <w:rsid w:val="00E87408"/>
    <w:rsid w:val="00E914C4"/>
    <w:rsid w:val="00E91B62"/>
    <w:rsid w:val="00E926B6"/>
    <w:rsid w:val="00E934F5"/>
    <w:rsid w:val="00E96961"/>
    <w:rsid w:val="00EA282A"/>
    <w:rsid w:val="00EA72EC"/>
    <w:rsid w:val="00EB11CB"/>
    <w:rsid w:val="00EB1C71"/>
    <w:rsid w:val="00EB275A"/>
    <w:rsid w:val="00EB57CA"/>
    <w:rsid w:val="00EB786A"/>
    <w:rsid w:val="00EC1578"/>
    <w:rsid w:val="00EC1BFC"/>
    <w:rsid w:val="00EC1C72"/>
    <w:rsid w:val="00EC3356"/>
    <w:rsid w:val="00EC3CC9"/>
    <w:rsid w:val="00EC5D85"/>
    <w:rsid w:val="00EC680A"/>
    <w:rsid w:val="00ED4D90"/>
    <w:rsid w:val="00ED511C"/>
    <w:rsid w:val="00ED7229"/>
    <w:rsid w:val="00EE25CB"/>
    <w:rsid w:val="00EE2BED"/>
    <w:rsid w:val="00EE374B"/>
    <w:rsid w:val="00EE4A87"/>
    <w:rsid w:val="00EE4B72"/>
    <w:rsid w:val="00EE4D1E"/>
    <w:rsid w:val="00EF2869"/>
    <w:rsid w:val="00F045A0"/>
    <w:rsid w:val="00F05D60"/>
    <w:rsid w:val="00F07224"/>
    <w:rsid w:val="00F07FD3"/>
    <w:rsid w:val="00F10C80"/>
    <w:rsid w:val="00F11BB5"/>
    <w:rsid w:val="00F1296C"/>
    <w:rsid w:val="00F1417B"/>
    <w:rsid w:val="00F1712D"/>
    <w:rsid w:val="00F17A17"/>
    <w:rsid w:val="00F208A0"/>
    <w:rsid w:val="00F2115E"/>
    <w:rsid w:val="00F27B3D"/>
    <w:rsid w:val="00F30ABD"/>
    <w:rsid w:val="00F3124D"/>
    <w:rsid w:val="00F34B99"/>
    <w:rsid w:val="00F40B02"/>
    <w:rsid w:val="00F41E81"/>
    <w:rsid w:val="00F51720"/>
    <w:rsid w:val="00F51CF2"/>
    <w:rsid w:val="00F52DAB"/>
    <w:rsid w:val="00F543F0"/>
    <w:rsid w:val="00F55E3E"/>
    <w:rsid w:val="00F57601"/>
    <w:rsid w:val="00F63CA2"/>
    <w:rsid w:val="00F73F99"/>
    <w:rsid w:val="00F75F80"/>
    <w:rsid w:val="00F81D29"/>
    <w:rsid w:val="00F84A1C"/>
    <w:rsid w:val="00F90BE5"/>
    <w:rsid w:val="00F91C4D"/>
    <w:rsid w:val="00F92FD9"/>
    <w:rsid w:val="00FA05F0"/>
    <w:rsid w:val="00FA37B1"/>
    <w:rsid w:val="00FA3E0B"/>
    <w:rsid w:val="00FA5BC1"/>
    <w:rsid w:val="00FA5EF7"/>
    <w:rsid w:val="00FA6684"/>
    <w:rsid w:val="00FA731E"/>
    <w:rsid w:val="00FA7BD0"/>
    <w:rsid w:val="00FB1DCF"/>
    <w:rsid w:val="00FB29FC"/>
    <w:rsid w:val="00FB2B38"/>
    <w:rsid w:val="00FB61CE"/>
    <w:rsid w:val="00FB7A07"/>
    <w:rsid w:val="00FC04CC"/>
    <w:rsid w:val="00FC2066"/>
    <w:rsid w:val="00FC4B52"/>
    <w:rsid w:val="00FC6358"/>
    <w:rsid w:val="00FD1381"/>
    <w:rsid w:val="00FD320D"/>
    <w:rsid w:val="00FD63FF"/>
    <w:rsid w:val="00FE1B98"/>
    <w:rsid w:val="00FE23DE"/>
    <w:rsid w:val="00FE7AFF"/>
    <w:rsid w:val="00FF156F"/>
    <w:rsid w:val="00FF1801"/>
    <w:rsid w:val="00FF6842"/>
    <w:rsid w:val="1FC327F2"/>
    <w:rsid w:val="21FE65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unhideWhenUsed="0" w:uiPriority="39" w:semiHidden="0" w:name="toc 3"/>
    <w:lsdException w:unhideWhenUsed="0" w:uiPriority="39" w:semiHidden="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semiHidden="0" w:name="footnote text"/>
    <w:lsdException w:uiPriority="0" w:name="annotation text"/>
    <w:lsdException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unhideWhenUsed/>
    <w:uiPriority w:val="1"/>
  </w:style>
  <w:style w:type="table" w:default="1" w:styleId="29">
    <w:name w:val="Normal Table"/>
    <w:semiHidden/>
    <w:unhideWhenUsed/>
    <w:uiPriority w:val="99"/>
    <w:tblPr>
      <w:tblLayout w:type="fixed"/>
      <w:tblCellMar>
        <w:top w:w="0" w:type="dxa"/>
        <w:left w:w="108" w:type="dxa"/>
        <w:bottom w:w="0" w:type="dxa"/>
        <w:right w:w="108" w:type="dxa"/>
      </w:tblCellMar>
    </w:tblPr>
  </w:style>
  <w:style w:type="paragraph" w:styleId="2">
    <w:name w:val="toc 7"/>
    <w:basedOn w:val="1"/>
    <w:next w:val="1"/>
    <w:semiHidden/>
    <w:uiPriority w:val="0"/>
    <w:pPr>
      <w:tabs>
        <w:tab w:val="right" w:leader="dot" w:pos="9241"/>
      </w:tabs>
      <w:ind w:firstLine="505" w:firstLineChars="500"/>
      <w:jc w:val="left"/>
    </w:pPr>
    <w:rPr>
      <w:rFonts w:ascii="宋体"/>
      <w:szCs w:val="21"/>
    </w:rPr>
  </w:style>
  <w:style w:type="paragraph" w:styleId="3">
    <w:name w:val="index 8"/>
    <w:basedOn w:val="1"/>
    <w:next w:val="1"/>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uiPriority w:val="0"/>
    <w:pPr>
      <w:ind w:left="1260" w:hanging="210"/>
      <w:jc w:val="left"/>
    </w:pPr>
    <w:rPr>
      <w:rFonts w:ascii="Calibri" w:hAnsi="Calibri"/>
      <w:sz w:val="20"/>
      <w:szCs w:val="20"/>
    </w:rPr>
  </w:style>
  <w:style w:type="paragraph" w:styleId="8">
    <w:name w:val="index 4"/>
    <w:basedOn w:val="1"/>
    <w:next w:val="1"/>
    <w:uiPriority w:val="0"/>
    <w:pPr>
      <w:ind w:left="840" w:hanging="210"/>
      <w:jc w:val="left"/>
    </w:pPr>
    <w:rPr>
      <w:rFonts w:ascii="Calibri" w:hAnsi="Calibri"/>
      <w:sz w:val="20"/>
      <w:szCs w:val="20"/>
    </w:rPr>
  </w:style>
  <w:style w:type="paragraph" w:styleId="9">
    <w:name w:val="toc 5"/>
    <w:basedOn w:val="1"/>
    <w:next w:val="1"/>
    <w:semiHidden/>
    <w:uiPriority w:val="0"/>
    <w:pPr>
      <w:tabs>
        <w:tab w:val="right" w:leader="dot" w:pos="9241"/>
      </w:tabs>
      <w:ind w:firstLine="300" w:firstLineChars="300"/>
      <w:jc w:val="left"/>
    </w:pPr>
    <w:rPr>
      <w:rFonts w:ascii="宋体"/>
      <w:szCs w:val="21"/>
    </w:rPr>
  </w:style>
  <w:style w:type="paragraph" w:styleId="10">
    <w:name w:val="toc 3"/>
    <w:basedOn w:val="1"/>
    <w:next w:val="1"/>
    <w:uiPriority w:val="39"/>
    <w:pPr>
      <w:tabs>
        <w:tab w:val="right" w:leader="dot" w:pos="9241"/>
      </w:tabs>
      <w:ind w:firstLine="102" w:firstLineChars="100"/>
      <w:jc w:val="left"/>
    </w:pPr>
    <w:rPr>
      <w:rFonts w:ascii="宋体"/>
      <w:szCs w:val="21"/>
    </w:rPr>
  </w:style>
  <w:style w:type="paragraph" w:styleId="11">
    <w:name w:val="toc 8"/>
    <w:basedOn w:val="1"/>
    <w:next w:val="1"/>
    <w:semiHidden/>
    <w:uiPriority w:val="0"/>
    <w:pPr>
      <w:tabs>
        <w:tab w:val="right" w:leader="dot" w:pos="9241"/>
      </w:tabs>
      <w:ind w:firstLine="607" w:firstLineChars="600"/>
      <w:jc w:val="left"/>
    </w:pPr>
    <w:rPr>
      <w:rFonts w:ascii="宋体"/>
      <w:szCs w:val="21"/>
    </w:rPr>
  </w:style>
  <w:style w:type="paragraph" w:styleId="12">
    <w:name w:val="index 3"/>
    <w:basedOn w:val="1"/>
    <w:next w:val="1"/>
    <w:uiPriority w:val="0"/>
    <w:pPr>
      <w:ind w:left="630" w:hanging="210"/>
      <w:jc w:val="left"/>
    </w:pPr>
    <w:rPr>
      <w:rFonts w:ascii="Calibri" w:hAnsi="Calibri"/>
      <w:sz w:val="20"/>
      <w:szCs w:val="20"/>
    </w:rPr>
  </w:style>
  <w:style w:type="paragraph" w:styleId="13">
    <w:name w:val="endnote text"/>
    <w:basedOn w:val="1"/>
    <w:semiHidden/>
    <w:qFormat/>
    <w:uiPriority w:val="0"/>
    <w:pPr>
      <w:snapToGrid w:val="0"/>
      <w:jc w:val="left"/>
    </w:pPr>
  </w:style>
  <w:style w:type="paragraph" w:styleId="14">
    <w:name w:val="Balloon Text"/>
    <w:basedOn w:val="1"/>
    <w:link w:val="137"/>
    <w:qFormat/>
    <w:uiPriority w:val="0"/>
    <w:rPr>
      <w:sz w:val="18"/>
      <w:szCs w:val="18"/>
    </w:rPr>
  </w:style>
  <w:style w:type="paragraph" w:styleId="15">
    <w:name w:val="footer"/>
    <w:basedOn w:val="1"/>
    <w:uiPriority w:val="0"/>
    <w:pPr>
      <w:snapToGrid w:val="0"/>
      <w:ind w:right="210" w:rightChars="100"/>
      <w:jc w:val="right"/>
    </w:pPr>
    <w:rPr>
      <w:sz w:val="18"/>
      <w:szCs w:val="18"/>
    </w:rPr>
  </w:style>
  <w:style w:type="paragraph" w:styleId="16">
    <w:name w:val="header"/>
    <w:basedOn w:val="1"/>
    <w:uiPriority w:val="0"/>
    <w:pPr>
      <w:snapToGrid w:val="0"/>
      <w:jc w:val="left"/>
    </w:pPr>
    <w:rPr>
      <w:sz w:val="18"/>
      <w:szCs w:val="18"/>
    </w:rPr>
  </w:style>
  <w:style w:type="paragraph" w:styleId="17">
    <w:name w:val="toc 1"/>
    <w:basedOn w:val="1"/>
    <w:next w:val="1"/>
    <w:qFormat/>
    <w:uiPriority w:val="39"/>
    <w:pPr>
      <w:tabs>
        <w:tab w:val="right" w:leader="dot" w:pos="9241"/>
      </w:tabs>
      <w:spacing w:beforeLines="25" w:afterLines="25"/>
      <w:jc w:val="left"/>
    </w:pPr>
    <w:rPr>
      <w:rFonts w:ascii="宋体"/>
      <w:szCs w:val="21"/>
    </w:rPr>
  </w:style>
  <w:style w:type="paragraph" w:styleId="18">
    <w:name w:val="toc 4"/>
    <w:basedOn w:val="1"/>
    <w:next w:val="1"/>
    <w:uiPriority w:val="39"/>
    <w:pPr>
      <w:tabs>
        <w:tab w:val="right" w:leader="dot" w:pos="9241"/>
      </w:tabs>
      <w:ind w:firstLine="198"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uiPriority w:val="0"/>
    <w:pPr>
      <w:tabs>
        <w:tab w:val="right" w:leader="dot" w:pos="9299"/>
      </w:tabs>
      <w:jc w:val="left"/>
    </w:pPr>
    <w:rPr>
      <w:rFonts w:ascii="宋体"/>
      <w:szCs w:val="21"/>
    </w:rPr>
  </w:style>
  <w:style w:type="paragraph" w:customStyle="1" w:styleId="21">
    <w:name w:val="段"/>
    <w:link w:val="37"/>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uiPriority w:val="0"/>
    <w:pPr>
      <w:numPr>
        <w:ilvl w:val="0"/>
        <w:numId w:val="1"/>
      </w:numPr>
      <w:snapToGrid w:val="0"/>
      <w:jc w:val="left"/>
    </w:pPr>
    <w:rPr>
      <w:rFonts w:ascii="宋体"/>
      <w:sz w:val="18"/>
      <w:szCs w:val="18"/>
    </w:rPr>
  </w:style>
  <w:style w:type="paragraph" w:styleId="23">
    <w:name w:val="toc 6"/>
    <w:basedOn w:val="1"/>
    <w:next w:val="1"/>
    <w:semiHidden/>
    <w:uiPriority w:val="0"/>
    <w:pPr>
      <w:tabs>
        <w:tab w:val="right" w:leader="dot" w:pos="9241"/>
      </w:tabs>
      <w:ind w:firstLine="403" w:firstLineChars="400"/>
      <w:jc w:val="left"/>
    </w:pPr>
    <w:rPr>
      <w:rFonts w:ascii="宋体"/>
      <w:szCs w:val="21"/>
    </w:rPr>
  </w:style>
  <w:style w:type="paragraph" w:styleId="24">
    <w:name w:val="index 7"/>
    <w:basedOn w:val="1"/>
    <w:next w:val="1"/>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1"/>
      </w:tabs>
    </w:pPr>
    <w:rPr>
      <w:rFonts w:ascii="宋体"/>
      <w:szCs w:val="21"/>
    </w:rPr>
  </w:style>
  <w:style w:type="paragraph" w:styleId="27">
    <w:name w:val="toc 9"/>
    <w:basedOn w:val="1"/>
    <w:next w:val="1"/>
    <w:semiHidden/>
    <w:uiPriority w:val="0"/>
    <w:pPr>
      <w:ind w:left="1470"/>
      <w:jc w:val="left"/>
    </w:pPr>
    <w:rPr>
      <w:sz w:val="20"/>
      <w:szCs w:val="20"/>
    </w:rPr>
  </w:style>
  <w:style w:type="paragraph" w:styleId="28">
    <w:name w:val="index 2"/>
    <w:basedOn w:val="1"/>
    <w:next w:val="1"/>
    <w:uiPriority w:val="0"/>
    <w:pPr>
      <w:ind w:left="420" w:hanging="210"/>
      <w:jc w:val="left"/>
    </w:pPr>
    <w:rPr>
      <w:rFonts w:ascii="Calibri" w:hAnsi="Calibri"/>
      <w:sz w:val="20"/>
      <w:szCs w:val="20"/>
    </w:rPr>
  </w:style>
  <w:style w:type="table" w:styleId="30">
    <w:name w:val="Table Grid"/>
    <w:basedOn w:val="2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32">
    <w:name w:val="endnote reference"/>
    <w:semiHidden/>
    <w:qFormat/>
    <w:uiPriority w:val="0"/>
    <w:rPr>
      <w:vertAlign w:val="superscript"/>
    </w:rPr>
  </w:style>
  <w:style w:type="character" w:styleId="33">
    <w:name w:val="page number"/>
    <w:qFormat/>
    <w:uiPriority w:val="0"/>
    <w:rPr>
      <w:rFonts w:ascii="Times New Roman" w:hAnsi="Times New Roman" w:eastAsia="宋体"/>
      <w:sz w:val="18"/>
    </w:rPr>
  </w:style>
  <w:style w:type="character" w:styleId="34">
    <w:name w:val="FollowedHyperlink"/>
    <w:qFormat/>
    <w:uiPriority w:val="0"/>
    <w:rPr>
      <w:color w:val="800080"/>
      <w:u w:val="single"/>
    </w:rPr>
  </w:style>
  <w:style w:type="character" w:styleId="35">
    <w:name w:val="Hyperlink"/>
    <w:uiPriority w:val="99"/>
    <w:rPr>
      <w:color w:val="0000FF"/>
      <w:spacing w:val="0"/>
      <w:w w:val="100"/>
      <w:szCs w:val="21"/>
      <w:u w:val="single"/>
    </w:rPr>
  </w:style>
  <w:style w:type="character" w:styleId="36">
    <w:name w:val="footnote reference"/>
    <w:semiHidden/>
    <w:uiPriority w:val="0"/>
    <w:rPr>
      <w:vertAlign w:val="superscript"/>
    </w:rPr>
  </w:style>
  <w:style w:type="character" w:customStyle="1" w:styleId="37">
    <w:name w:val="段 Char"/>
    <w:link w:val="21"/>
    <w:uiPriority w:val="0"/>
    <w:rPr>
      <w:rFonts w:ascii="宋体"/>
      <w:sz w:val="21"/>
      <w:lang w:val="en-US" w:eastAsia="zh-CN" w:bidi="ar-SA"/>
    </w:rPr>
  </w:style>
  <w:style w:type="paragraph" w:customStyle="1" w:styleId="38">
    <w:name w:val="一级条标题"/>
    <w:next w:val="21"/>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9">
    <w:name w:val="标准书脚_奇数页"/>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0">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1">
    <w:name w:val="章标题"/>
    <w:next w:val="21"/>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2">
    <w:name w:val="二级条标题"/>
    <w:basedOn w:val="38"/>
    <w:next w:val="21"/>
    <w:uiPriority w:val="0"/>
    <w:pPr>
      <w:numPr>
        <w:ilvl w:val="2"/>
      </w:numPr>
      <w:spacing w:before="50" w:after="50"/>
      <w:ind w:left="0"/>
      <w:outlineLvl w:val="3"/>
    </w:pPr>
  </w:style>
  <w:style w:type="paragraph" w:customStyle="1" w:styleId="43">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4">
    <w:name w:val="列项——（一级）"/>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5">
    <w:name w:val="列项●（二级）"/>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6">
    <w:name w:val="目次、标准名称标题"/>
    <w:basedOn w:val="1"/>
    <w:next w:val="21"/>
    <w:link w:val="135"/>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7">
    <w:name w:val="三级条标题"/>
    <w:basedOn w:val="42"/>
    <w:next w:val="21"/>
    <w:uiPriority w:val="0"/>
    <w:pPr>
      <w:numPr>
        <w:ilvl w:val="3"/>
      </w:numPr>
      <w:outlineLvl w:val="4"/>
    </w:pPr>
  </w:style>
  <w:style w:type="paragraph" w:customStyle="1" w:styleId="48">
    <w:name w:val="示例"/>
    <w:next w:val="49"/>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0">
    <w:name w:val="数字编号列项（二级）"/>
    <w:uiPriority w:val="0"/>
    <w:pPr>
      <w:numPr>
        <w:ilvl w:val="1"/>
        <w:numId w:val="5"/>
      </w:numPr>
      <w:jc w:val="both"/>
    </w:pPr>
    <w:rPr>
      <w:rFonts w:ascii="宋体" w:hAnsi="Times New Roman" w:eastAsia="宋体" w:cs="Times New Roman"/>
      <w:sz w:val="21"/>
      <w:lang w:val="en-US" w:eastAsia="zh-CN" w:bidi="ar-SA"/>
    </w:rPr>
  </w:style>
  <w:style w:type="paragraph" w:customStyle="1" w:styleId="51">
    <w:name w:val="四级条标题"/>
    <w:basedOn w:val="47"/>
    <w:next w:val="21"/>
    <w:uiPriority w:val="0"/>
    <w:pPr>
      <w:numPr>
        <w:ilvl w:val="4"/>
      </w:numPr>
      <w:outlineLvl w:val="5"/>
    </w:pPr>
  </w:style>
  <w:style w:type="paragraph" w:customStyle="1" w:styleId="52">
    <w:name w:val="五级条标题"/>
    <w:basedOn w:val="51"/>
    <w:next w:val="21"/>
    <w:uiPriority w:val="0"/>
    <w:pPr>
      <w:numPr>
        <w:ilvl w:val="5"/>
      </w:numPr>
      <w:outlineLvl w:val="6"/>
    </w:pPr>
  </w:style>
  <w:style w:type="paragraph" w:customStyle="1" w:styleId="53">
    <w:name w:val="注："/>
    <w:next w:val="21"/>
    <w:uiPriority w:val="0"/>
    <w:pPr>
      <w:widowControl w:val="0"/>
      <w:numPr>
        <w:ilvl w:val="0"/>
        <w:numId w:val="6"/>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4">
    <w:name w:val="注×："/>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5">
    <w:name w:val="字母编号列项（一级）"/>
    <w:uiPriority w:val="0"/>
    <w:pPr>
      <w:numPr>
        <w:ilvl w:val="0"/>
        <w:numId w:val="5"/>
      </w:numPr>
      <w:jc w:val="both"/>
    </w:pPr>
    <w:rPr>
      <w:rFonts w:ascii="宋体" w:hAnsi="Times New Roman" w:eastAsia="宋体" w:cs="Times New Roman"/>
      <w:sz w:val="21"/>
      <w:lang w:val="en-US" w:eastAsia="zh-CN" w:bidi="ar-SA"/>
    </w:rPr>
  </w:style>
  <w:style w:type="paragraph" w:customStyle="1" w:styleId="56">
    <w:name w:val="列项◆（三级）"/>
    <w:basedOn w:val="1"/>
    <w:uiPriority w:val="0"/>
    <w:pPr>
      <w:numPr>
        <w:ilvl w:val="2"/>
        <w:numId w:val="3"/>
      </w:numPr>
    </w:pPr>
    <w:rPr>
      <w:rFonts w:ascii="宋体"/>
      <w:szCs w:val="21"/>
    </w:rPr>
  </w:style>
  <w:style w:type="paragraph" w:customStyle="1" w:styleId="57">
    <w:name w:val="编号列项（三级）"/>
    <w:uiPriority w:val="0"/>
    <w:pPr>
      <w:numPr>
        <w:ilvl w:val="2"/>
        <w:numId w:val="5"/>
      </w:numPr>
    </w:pPr>
    <w:rPr>
      <w:rFonts w:ascii="宋体" w:hAnsi="Times New Roman" w:eastAsia="宋体" w:cs="Times New Roman"/>
      <w:sz w:val="21"/>
      <w:lang w:val="en-US" w:eastAsia="zh-CN" w:bidi="ar-SA"/>
    </w:rPr>
  </w:style>
  <w:style w:type="paragraph" w:customStyle="1" w:styleId="58">
    <w:name w:val="示例×："/>
    <w:basedOn w:val="41"/>
    <w:qFormat/>
    <w:uiPriority w:val="0"/>
    <w:pPr>
      <w:numPr>
        <w:numId w:val="8"/>
      </w:numPr>
      <w:spacing w:beforeLines="0" w:afterLines="0"/>
      <w:outlineLvl w:val="9"/>
    </w:pPr>
    <w:rPr>
      <w:rFonts w:ascii="宋体" w:eastAsia="宋体"/>
      <w:sz w:val="18"/>
      <w:szCs w:val="18"/>
    </w:rPr>
  </w:style>
  <w:style w:type="paragraph" w:customStyle="1" w:styleId="59">
    <w:name w:val="二级无"/>
    <w:basedOn w:val="42"/>
    <w:uiPriority w:val="0"/>
    <w:pPr>
      <w:spacing w:beforeLines="0" w:afterLines="0"/>
      <w:ind w:left="142"/>
    </w:pPr>
    <w:rPr>
      <w:rFonts w:ascii="宋体" w:eastAsia="宋体"/>
    </w:rPr>
  </w:style>
  <w:style w:type="paragraph" w:customStyle="1" w:styleId="60">
    <w:name w:val="注：（正文）"/>
    <w:basedOn w:val="53"/>
    <w:next w:val="21"/>
    <w:uiPriority w:val="0"/>
    <w:pPr>
      <w:numPr>
        <w:numId w:val="9"/>
      </w:numPr>
      <w:ind w:left="726" w:hanging="363"/>
    </w:pPr>
  </w:style>
  <w:style w:type="paragraph" w:customStyle="1" w:styleId="61">
    <w:name w:val="注×：（正文）"/>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62">
    <w:name w:val="标准标志"/>
    <w:next w:val="1"/>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3">
    <w:name w:val="标准称谓"/>
    <w:next w:val="1"/>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4">
    <w:name w:val="标准书脚_偶数页"/>
    <w:uiPriority w:val="0"/>
    <w:pPr>
      <w:spacing w:before="120"/>
      <w:ind w:left="221"/>
    </w:pPr>
    <w:rPr>
      <w:rFonts w:ascii="宋体" w:hAnsi="Times New Roman" w:eastAsia="宋体" w:cs="Times New Roman"/>
      <w:sz w:val="18"/>
      <w:szCs w:val="18"/>
      <w:lang w:val="en-US" w:eastAsia="zh-CN" w:bidi="ar-SA"/>
    </w:rPr>
  </w:style>
  <w:style w:type="paragraph" w:customStyle="1" w:styleId="65">
    <w:name w:val="标准书眉_偶数页"/>
    <w:basedOn w:val="40"/>
    <w:next w:val="1"/>
    <w:uiPriority w:val="0"/>
    <w:pPr>
      <w:jc w:val="left"/>
    </w:pPr>
  </w:style>
  <w:style w:type="paragraph" w:customStyle="1" w:styleId="66">
    <w:name w:val="标准书眉一"/>
    <w:uiPriority w:val="0"/>
    <w:pPr>
      <w:jc w:val="both"/>
    </w:pPr>
    <w:rPr>
      <w:rFonts w:ascii="Times New Roman" w:hAnsi="Times New Roman" w:eastAsia="宋体" w:cs="Times New Roman"/>
      <w:lang w:val="en-US" w:eastAsia="zh-CN" w:bidi="ar-SA"/>
    </w:rPr>
  </w:style>
  <w:style w:type="paragraph" w:customStyle="1" w:styleId="67">
    <w:name w:val="参考文献"/>
    <w:basedOn w:val="1"/>
    <w:next w:val="21"/>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8">
    <w:name w:val="参考文献、索引标题"/>
    <w:basedOn w:val="1"/>
    <w:next w:val="21"/>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9">
    <w:name w:val="发布"/>
    <w:uiPriority w:val="0"/>
    <w:rPr>
      <w:rFonts w:ascii="黑体" w:eastAsia="黑体"/>
      <w:spacing w:val="85"/>
      <w:w w:val="100"/>
      <w:position w:val="3"/>
      <w:sz w:val="28"/>
      <w:szCs w:val="28"/>
    </w:rPr>
  </w:style>
  <w:style w:type="paragraph" w:customStyle="1" w:styleId="70">
    <w:name w:val="发布部门"/>
    <w:next w:val="21"/>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1">
    <w:name w:val="发布日期"/>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2">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3">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4">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封面标准英文名称"/>
    <w:basedOn w:val="74"/>
    <w:uiPriority w:val="0"/>
    <w:pPr>
      <w:framePr/>
      <w:spacing w:before="370" w:line="400" w:lineRule="exact"/>
    </w:pPr>
    <w:rPr>
      <w:rFonts w:ascii="Times New Roman"/>
      <w:sz w:val="28"/>
      <w:szCs w:val="28"/>
    </w:rPr>
  </w:style>
  <w:style w:type="paragraph" w:customStyle="1" w:styleId="76">
    <w:name w:val="封面一致性程度标识"/>
    <w:basedOn w:val="75"/>
    <w:uiPriority w:val="0"/>
    <w:pPr>
      <w:framePr/>
      <w:spacing w:before="440"/>
    </w:pPr>
    <w:rPr>
      <w:rFonts w:ascii="宋体" w:eastAsia="宋体"/>
    </w:rPr>
  </w:style>
  <w:style w:type="paragraph" w:customStyle="1" w:styleId="77">
    <w:name w:val="封面标准文稿类别"/>
    <w:basedOn w:val="76"/>
    <w:uiPriority w:val="0"/>
    <w:pPr>
      <w:framePr/>
      <w:spacing w:after="160" w:line="240" w:lineRule="auto"/>
    </w:pPr>
    <w:rPr>
      <w:sz w:val="24"/>
    </w:rPr>
  </w:style>
  <w:style w:type="paragraph" w:customStyle="1" w:styleId="78">
    <w:name w:val="封面标准文稿编辑信息"/>
    <w:basedOn w:val="77"/>
    <w:uiPriority w:val="0"/>
    <w:pPr>
      <w:framePr/>
      <w:spacing w:before="180" w:line="180" w:lineRule="exact"/>
    </w:pPr>
    <w:rPr>
      <w:sz w:val="21"/>
    </w:rPr>
  </w:style>
  <w:style w:type="paragraph" w:customStyle="1" w:styleId="79">
    <w:name w:val="封面正文"/>
    <w:uiPriority w:val="0"/>
    <w:pPr>
      <w:jc w:val="both"/>
    </w:pPr>
    <w:rPr>
      <w:rFonts w:ascii="Times New Roman" w:hAnsi="Times New Roman" w:eastAsia="宋体" w:cs="Times New Roman"/>
      <w:lang w:val="en-US" w:eastAsia="zh-CN" w:bidi="ar-SA"/>
    </w:rPr>
  </w:style>
  <w:style w:type="paragraph" w:customStyle="1" w:styleId="80">
    <w:name w:val="附录标识"/>
    <w:basedOn w:val="1"/>
    <w:next w:val="21"/>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1">
    <w:name w:val="附录标题"/>
    <w:basedOn w:val="21"/>
    <w:next w:val="21"/>
    <w:uiPriority w:val="0"/>
    <w:pPr>
      <w:ind w:firstLine="0" w:firstLineChars="0"/>
      <w:jc w:val="center"/>
    </w:pPr>
    <w:rPr>
      <w:rFonts w:ascii="黑体" w:eastAsia="黑体"/>
    </w:rPr>
  </w:style>
  <w:style w:type="paragraph" w:customStyle="1" w:styleId="82">
    <w:name w:val="附录表标号"/>
    <w:basedOn w:val="1"/>
    <w:next w:val="21"/>
    <w:uiPriority w:val="0"/>
    <w:pPr>
      <w:numPr>
        <w:ilvl w:val="0"/>
        <w:numId w:val="12"/>
      </w:numPr>
      <w:tabs>
        <w:tab w:val="clear" w:pos="0"/>
      </w:tabs>
      <w:spacing w:line="14" w:lineRule="exact"/>
      <w:ind w:left="811" w:hanging="448"/>
      <w:jc w:val="center"/>
      <w:outlineLvl w:val="0"/>
    </w:pPr>
    <w:rPr>
      <w:color w:val="FFFFFF"/>
    </w:rPr>
  </w:style>
  <w:style w:type="paragraph" w:customStyle="1" w:styleId="83">
    <w:name w:val="附录表标题"/>
    <w:basedOn w:val="1"/>
    <w:next w:val="21"/>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4">
    <w:name w:val="附录二级条标题"/>
    <w:basedOn w:val="1"/>
    <w:next w:val="21"/>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5">
    <w:name w:val="附录二级无"/>
    <w:basedOn w:val="84"/>
    <w:uiPriority w:val="0"/>
    <w:pPr>
      <w:tabs>
        <w:tab w:val="clear" w:pos="360"/>
      </w:tabs>
      <w:spacing w:beforeLines="0" w:afterLines="0"/>
    </w:pPr>
    <w:rPr>
      <w:rFonts w:ascii="宋体" w:eastAsia="宋体"/>
      <w:szCs w:val="21"/>
    </w:rPr>
  </w:style>
  <w:style w:type="paragraph" w:customStyle="1" w:styleId="86">
    <w:name w:val="附录公式"/>
    <w:basedOn w:val="21"/>
    <w:next w:val="21"/>
    <w:link w:val="87"/>
    <w:qFormat/>
    <w:uiPriority w:val="0"/>
  </w:style>
  <w:style w:type="character" w:customStyle="1" w:styleId="87">
    <w:name w:val="附录公式 Char"/>
    <w:basedOn w:val="37"/>
    <w:link w:val="86"/>
    <w:uiPriority w:val="0"/>
    <w:rPr>
      <w:rFonts w:ascii="宋体"/>
      <w:sz w:val="21"/>
      <w:lang w:val="en-US" w:eastAsia="zh-CN" w:bidi="ar-SA"/>
    </w:rPr>
  </w:style>
  <w:style w:type="paragraph" w:customStyle="1" w:styleId="88">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89">
    <w:name w:val="附录三级条标题"/>
    <w:basedOn w:val="84"/>
    <w:next w:val="21"/>
    <w:uiPriority w:val="0"/>
    <w:pPr>
      <w:numPr>
        <w:ilvl w:val="4"/>
      </w:numPr>
      <w:outlineLvl w:val="4"/>
    </w:pPr>
  </w:style>
  <w:style w:type="paragraph" w:customStyle="1" w:styleId="90">
    <w:name w:val="附录三级无"/>
    <w:basedOn w:val="89"/>
    <w:uiPriority w:val="0"/>
    <w:pPr>
      <w:tabs>
        <w:tab w:val="clear" w:pos="360"/>
      </w:tabs>
      <w:spacing w:beforeLines="0" w:afterLines="0"/>
    </w:pPr>
    <w:rPr>
      <w:rFonts w:ascii="宋体" w:eastAsia="宋体"/>
      <w:szCs w:val="21"/>
    </w:rPr>
  </w:style>
  <w:style w:type="paragraph" w:customStyle="1" w:styleId="91">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2">
    <w:name w:val="附录四级条标题"/>
    <w:basedOn w:val="89"/>
    <w:next w:val="21"/>
    <w:uiPriority w:val="0"/>
    <w:pPr>
      <w:numPr>
        <w:ilvl w:val="5"/>
      </w:numPr>
      <w:outlineLvl w:val="5"/>
    </w:pPr>
  </w:style>
  <w:style w:type="paragraph" w:customStyle="1" w:styleId="93">
    <w:name w:val="附录四级无"/>
    <w:basedOn w:val="92"/>
    <w:uiPriority w:val="0"/>
    <w:pPr>
      <w:tabs>
        <w:tab w:val="clear" w:pos="360"/>
      </w:tabs>
      <w:spacing w:beforeLines="0" w:afterLines="0"/>
    </w:pPr>
    <w:rPr>
      <w:rFonts w:ascii="宋体" w:eastAsia="宋体"/>
      <w:szCs w:val="21"/>
    </w:rPr>
  </w:style>
  <w:style w:type="paragraph" w:customStyle="1" w:styleId="94">
    <w:name w:val="附录图标号"/>
    <w:basedOn w:val="1"/>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5">
    <w:name w:val="附录图标题"/>
    <w:basedOn w:val="1"/>
    <w:next w:val="21"/>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96">
    <w:name w:val="附录五级条标题"/>
    <w:basedOn w:val="92"/>
    <w:next w:val="21"/>
    <w:uiPriority w:val="0"/>
    <w:pPr>
      <w:numPr>
        <w:ilvl w:val="6"/>
      </w:numPr>
      <w:outlineLvl w:val="6"/>
    </w:pPr>
  </w:style>
  <w:style w:type="paragraph" w:customStyle="1" w:styleId="97">
    <w:name w:val="附录五级无"/>
    <w:basedOn w:val="96"/>
    <w:uiPriority w:val="0"/>
    <w:pPr>
      <w:tabs>
        <w:tab w:val="clear" w:pos="360"/>
      </w:tabs>
      <w:spacing w:beforeLines="0" w:afterLines="0"/>
    </w:pPr>
    <w:rPr>
      <w:rFonts w:ascii="宋体" w:eastAsia="宋体"/>
      <w:szCs w:val="21"/>
    </w:rPr>
  </w:style>
  <w:style w:type="paragraph" w:customStyle="1" w:styleId="98">
    <w:name w:val="附录章标题"/>
    <w:next w:val="21"/>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9">
    <w:name w:val="附录一级条标题"/>
    <w:basedOn w:val="98"/>
    <w:next w:val="21"/>
    <w:uiPriority w:val="0"/>
    <w:pPr>
      <w:numPr>
        <w:ilvl w:val="2"/>
      </w:numPr>
      <w:autoSpaceDN w:val="0"/>
      <w:spacing w:beforeLines="50" w:afterLines="50"/>
      <w:outlineLvl w:val="2"/>
    </w:pPr>
  </w:style>
  <w:style w:type="paragraph" w:customStyle="1" w:styleId="100">
    <w:name w:val="附录一级无"/>
    <w:basedOn w:val="99"/>
    <w:uiPriority w:val="0"/>
    <w:pPr>
      <w:tabs>
        <w:tab w:val="clear" w:pos="360"/>
      </w:tabs>
      <w:spacing w:beforeLines="0" w:afterLines="0"/>
    </w:pPr>
    <w:rPr>
      <w:rFonts w:ascii="宋体" w:eastAsia="宋体"/>
      <w:szCs w:val="21"/>
    </w:rPr>
  </w:style>
  <w:style w:type="paragraph" w:customStyle="1" w:styleId="101">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2">
    <w:name w:val="列项说明"/>
    <w:basedOn w:val="1"/>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3">
    <w:name w:val="列项说明数字编号"/>
    <w:uiPriority w:val="0"/>
    <w:pPr>
      <w:ind w:left="600" w:leftChars="400" w:hanging="200" w:hangingChars="200"/>
    </w:pPr>
    <w:rPr>
      <w:rFonts w:ascii="宋体" w:hAnsi="Times New Roman" w:eastAsia="宋体" w:cs="Times New Roman"/>
      <w:sz w:val="21"/>
      <w:lang w:val="en-US" w:eastAsia="zh-CN" w:bidi="ar-SA"/>
    </w:rPr>
  </w:style>
  <w:style w:type="paragraph" w:customStyle="1" w:styleId="104">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05">
    <w:name w:val="其他标准标志"/>
    <w:basedOn w:val="62"/>
    <w:uiPriority w:val="0"/>
    <w:pPr>
      <w:framePr w:w="6101" w:vAnchor="page" w:hAnchor="page" w:x="4673" w:y="942"/>
    </w:pPr>
    <w:rPr>
      <w:w w:val="130"/>
    </w:rPr>
  </w:style>
  <w:style w:type="paragraph" w:customStyle="1" w:styleId="106">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7">
    <w:name w:val="其他发布部门"/>
    <w:basedOn w:val="70"/>
    <w:uiPriority w:val="0"/>
    <w:pPr>
      <w:framePr w:y="15310"/>
      <w:spacing w:line="0" w:lineRule="atLeast"/>
    </w:pPr>
    <w:rPr>
      <w:rFonts w:ascii="黑体" w:eastAsia="黑体"/>
      <w:b w:val="0"/>
    </w:rPr>
  </w:style>
  <w:style w:type="paragraph" w:customStyle="1" w:styleId="108">
    <w:name w:val="前言、引言标题"/>
    <w:next w:val="21"/>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9">
    <w:name w:val="三级无"/>
    <w:basedOn w:val="47"/>
    <w:uiPriority w:val="0"/>
    <w:pPr>
      <w:spacing w:beforeLines="0" w:afterLines="0"/>
    </w:pPr>
    <w:rPr>
      <w:rFonts w:ascii="宋体" w:eastAsia="宋体"/>
    </w:rPr>
  </w:style>
  <w:style w:type="paragraph" w:customStyle="1" w:styleId="110">
    <w:name w:val="实施日期"/>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1">
    <w:name w:val="示例后文字"/>
    <w:basedOn w:val="21"/>
    <w:next w:val="21"/>
    <w:qFormat/>
    <w:uiPriority w:val="0"/>
    <w:pPr>
      <w:ind w:firstLine="360"/>
    </w:pPr>
    <w:rPr>
      <w:sz w:val="18"/>
    </w:rPr>
  </w:style>
  <w:style w:type="paragraph" w:customStyle="1" w:styleId="112">
    <w:name w:val="首示例"/>
    <w:next w:val="21"/>
    <w:link w:val="113"/>
    <w:qFormat/>
    <w:uiPriority w:val="0"/>
    <w:pPr>
      <w:tabs>
        <w:tab w:val="left" w:pos="360"/>
      </w:tabs>
    </w:pPr>
    <w:rPr>
      <w:rFonts w:ascii="宋体" w:hAnsi="宋体" w:eastAsia="宋体" w:cs="Times New Roman"/>
      <w:kern w:val="2"/>
      <w:sz w:val="18"/>
      <w:szCs w:val="18"/>
      <w:lang w:val="en-US" w:eastAsia="zh-CN" w:bidi="ar-SA"/>
    </w:rPr>
  </w:style>
  <w:style w:type="character" w:customStyle="1" w:styleId="113">
    <w:name w:val="首示例 Char"/>
    <w:link w:val="112"/>
    <w:uiPriority w:val="0"/>
    <w:rPr>
      <w:rFonts w:ascii="宋体" w:hAnsi="宋体"/>
      <w:kern w:val="2"/>
      <w:sz w:val="18"/>
      <w:szCs w:val="18"/>
    </w:rPr>
  </w:style>
  <w:style w:type="paragraph" w:customStyle="1" w:styleId="114">
    <w:name w:val="四级无"/>
    <w:basedOn w:val="51"/>
    <w:uiPriority w:val="0"/>
    <w:pPr>
      <w:spacing w:beforeLines="0" w:afterLines="0"/>
    </w:pPr>
    <w:rPr>
      <w:rFonts w:ascii="宋体" w:eastAsia="宋体"/>
    </w:rPr>
  </w:style>
  <w:style w:type="paragraph" w:customStyle="1" w:styleId="115">
    <w:name w:val="条文脚注"/>
    <w:basedOn w:val="22"/>
    <w:qFormat/>
    <w:uiPriority w:val="0"/>
    <w:pPr>
      <w:numPr>
        <w:numId w:val="0"/>
      </w:numPr>
      <w:jc w:val="both"/>
    </w:pPr>
  </w:style>
  <w:style w:type="paragraph" w:customStyle="1" w:styleId="116">
    <w:name w:val="图标脚注说明"/>
    <w:basedOn w:val="21"/>
    <w:qFormat/>
    <w:uiPriority w:val="0"/>
    <w:pPr>
      <w:ind w:left="840" w:hanging="420" w:firstLineChars="0"/>
    </w:pPr>
    <w:rPr>
      <w:sz w:val="18"/>
      <w:szCs w:val="18"/>
    </w:rPr>
  </w:style>
  <w:style w:type="paragraph" w:customStyle="1" w:styleId="117">
    <w:name w:val="图表脚注说明"/>
    <w:basedOn w:val="1"/>
    <w:qFormat/>
    <w:uiPriority w:val="0"/>
    <w:pPr>
      <w:numPr>
        <w:ilvl w:val="0"/>
        <w:numId w:val="15"/>
      </w:numPr>
    </w:pPr>
    <w:rPr>
      <w:rFonts w:ascii="宋体"/>
      <w:sz w:val="18"/>
      <w:szCs w:val="18"/>
    </w:rPr>
  </w:style>
  <w:style w:type="paragraph" w:customStyle="1" w:styleId="118">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五级无"/>
    <w:basedOn w:val="52"/>
    <w:qFormat/>
    <w:uiPriority w:val="0"/>
    <w:pPr>
      <w:spacing w:beforeLines="0" w:afterLines="0"/>
    </w:pPr>
    <w:rPr>
      <w:rFonts w:ascii="宋体" w:eastAsia="宋体"/>
    </w:rPr>
  </w:style>
  <w:style w:type="paragraph" w:customStyle="1" w:styleId="121">
    <w:name w:val="一级无"/>
    <w:basedOn w:val="38"/>
    <w:qFormat/>
    <w:uiPriority w:val="0"/>
    <w:pPr>
      <w:spacing w:beforeLines="0" w:afterLines="0"/>
    </w:pPr>
    <w:rPr>
      <w:rFonts w:ascii="宋体" w:eastAsia="宋体"/>
    </w:rPr>
  </w:style>
  <w:style w:type="paragraph" w:customStyle="1" w:styleId="122">
    <w:name w:val="正文表标题"/>
    <w:next w:val="21"/>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3">
    <w:name w:val="正文公式编号制表符"/>
    <w:basedOn w:val="21"/>
    <w:next w:val="21"/>
    <w:qFormat/>
    <w:uiPriority w:val="0"/>
    <w:pPr>
      <w:ind w:firstLine="0" w:firstLineChars="0"/>
    </w:pPr>
  </w:style>
  <w:style w:type="paragraph" w:customStyle="1" w:styleId="124">
    <w:name w:val="正文图标题"/>
    <w:next w:val="21"/>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5">
    <w:name w:val="终结线"/>
    <w:basedOn w:val="1"/>
    <w:qFormat/>
    <w:uiPriority w:val="0"/>
    <w:pPr>
      <w:framePr w:hSpace="181" w:vSpace="181" w:wrap="around" w:vAnchor="text" w:hAnchor="margin" w:xAlign="center" w:y="285"/>
    </w:pPr>
  </w:style>
  <w:style w:type="paragraph" w:customStyle="1" w:styleId="126">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27">
    <w:name w:val="其他实施日期"/>
    <w:basedOn w:val="110"/>
    <w:qFormat/>
    <w:uiPriority w:val="0"/>
    <w:pPr>
      <w:framePr/>
    </w:pPr>
  </w:style>
  <w:style w:type="paragraph" w:customStyle="1" w:styleId="128">
    <w:name w:val="封面标准名称2"/>
    <w:basedOn w:val="74"/>
    <w:qFormat/>
    <w:uiPriority w:val="0"/>
    <w:pPr>
      <w:framePr w:y="4469"/>
      <w:spacing w:beforeLines="630"/>
    </w:pPr>
  </w:style>
  <w:style w:type="paragraph" w:customStyle="1" w:styleId="129">
    <w:name w:val="封面标准英文名称2"/>
    <w:basedOn w:val="75"/>
    <w:qFormat/>
    <w:uiPriority w:val="0"/>
    <w:pPr>
      <w:framePr w:y="4469"/>
    </w:pPr>
  </w:style>
  <w:style w:type="paragraph" w:customStyle="1" w:styleId="130">
    <w:name w:val="封面一致性程度标识2"/>
    <w:basedOn w:val="76"/>
    <w:qFormat/>
    <w:uiPriority w:val="0"/>
    <w:pPr>
      <w:framePr w:y="4469"/>
    </w:pPr>
  </w:style>
  <w:style w:type="paragraph" w:customStyle="1" w:styleId="131">
    <w:name w:val="封面标准文稿类别2"/>
    <w:basedOn w:val="77"/>
    <w:qFormat/>
    <w:uiPriority w:val="0"/>
    <w:pPr>
      <w:framePr w:y="4469"/>
    </w:pPr>
  </w:style>
  <w:style w:type="paragraph" w:customStyle="1" w:styleId="132">
    <w:name w:val="封面标准文稿编辑信息2"/>
    <w:basedOn w:val="78"/>
    <w:qFormat/>
    <w:uiPriority w:val="0"/>
    <w:pPr>
      <w:framePr w:y="4469"/>
    </w:pPr>
  </w:style>
  <w:style w:type="paragraph" w:customStyle="1" w:styleId="133">
    <w:name w:val="标准名称"/>
    <w:basedOn w:val="46"/>
    <w:link w:val="136"/>
    <w:qFormat/>
    <w:uiPriority w:val="0"/>
  </w:style>
  <w:style w:type="character" w:styleId="134">
    <w:name w:val="Placeholder Text"/>
    <w:basedOn w:val="31"/>
    <w:semiHidden/>
    <w:qFormat/>
    <w:uiPriority w:val="99"/>
    <w:rPr>
      <w:color w:val="808080"/>
    </w:rPr>
  </w:style>
  <w:style w:type="character" w:customStyle="1" w:styleId="135">
    <w:name w:val="目次、标准名称标题 Char"/>
    <w:basedOn w:val="31"/>
    <w:link w:val="46"/>
    <w:qFormat/>
    <w:uiPriority w:val="0"/>
    <w:rPr>
      <w:rFonts w:ascii="黑体" w:eastAsia="黑体"/>
      <w:sz w:val="32"/>
      <w:shd w:val="clear" w:color="FFFFFF" w:fill="FFFFFF"/>
    </w:rPr>
  </w:style>
  <w:style w:type="character" w:customStyle="1" w:styleId="136">
    <w:name w:val="标准名称 Char"/>
    <w:basedOn w:val="135"/>
    <w:link w:val="133"/>
    <w:qFormat/>
    <w:uiPriority w:val="0"/>
    <w:rPr>
      <w:rFonts w:ascii="黑体" w:eastAsia="黑体"/>
      <w:sz w:val="32"/>
      <w:shd w:val="clear" w:color="FFFFFF" w:fill="FFFFFF"/>
    </w:rPr>
  </w:style>
  <w:style w:type="character" w:customStyle="1" w:styleId="137">
    <w:name w:val="批注框文本 Char"/>
    <w:basedOn w:val="31"/>
    <w:link w:val="14"/>
    <w:qFormat/>
    <w:uiPriority w:val="0"/>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1"/>
        <w:style w:val=""/>
        <w:category>
          <w:name w:val="常规"/>
          <w:gallery w:val="placeholder"/>
        </w:category>
        <w:types>
          <w:type w:val="bbPlcHdr"/>
        </w:types>
        <w:behaviors>
          <w:behavior w:val="content"/>
        </w:behaviors>
        <w:description w:val=""/>
        <w:guid w:val="{028989F2-0355-49D4-BDA6-4D56B5D374C0}"/>
      </w:docPartPr>
      <w:docPartBody>
        <w:p>
          <w:pPr>
            <w:pStyle w:val="7"/>
          </w:pPr>
          <w:r>
            <w:rPr>
              <w:rStyle w:val="4"/>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F113A"/>
    <w:rsid w:val="0002647A"/>
    <w:rsid w:val="0002653F"/>
    <w:rsid w:val="00080DE3"/>
    <w:rsid w:val="00087E40"/>
    <w:rsid w:val="000C73CF"/>
    <w:rsid w:val="001132F9"/>
    <w:rsid w:val="00114ABC"/>
    <w:rsid w:val="001C16E0"/>
    <w:rsid w:val="002068C7"/>
    <w:rsid w:val="00323E80"/>
    <w:rsid w:val="003372E5"/>
    <w:rsid w:val="003750AF"/>
    <w:rsid w:val="00430F92"/>
    <w:rsid w:val="004F113A"/>
    <w:rsid w:val="004F1EC5"/>
    <w:rsid w:val="00515A81"/>
    <w:rsid w:val="005335DD"/>
    <w:rsid w:val="0057611A"/>
    <w:rsid w:val="00595E09"/>
    <w:rsid w:val="005E4AE7"/>
    <w:rsid w:val="0065422F"/>
    <w:rsid w:val="00674FBA"/>
    <w:rsid w:val="006D02E4"/>
    <w:rsid w:val="006E6FE3"/>
    <w:rsid w:val="00716B22"/>
    <w:rsid w:val="007216E9"/>
    <w:rsid w:val="007C6ACB"/>
    <w:rsid w:val="007E2797"/>
    <w:rsid w:val="00800293"/>
    <w:rsid w:val="00820E7E"/>
    <w:rsid w:val="00891541"/>
    <w:rsid w:val="008E024D"/>
    <w:rsid w:val="008F0268"/>
    <w:rsid w:val="00902EF8"/>
    <w:rsid w:val="00982DAC"/>
    <w:rsid w:val="009B16B1"/>
    <w:rsid w:val="00A94E45"/>
    <w:rsid w:val="00AD6808"/>
    <w:rsid w:val="00B717AC"/>
    <w:rsid w:val="00BC67AA"/>
    <w:rsid w:val="00C875D2"/>
    <w:rsid w:val="00CB0B2B"/>
    <w:rsid w:val="00D4454B"/>
    <w:rsid w:val="00D65DD7"/>
    <w:rsid w:val="00DA4409"/>
    <w:rsid w:val="00DD23F6"/>
    <w:rsid w:val="00DE35B8"/>
    <w:rsid w:val="00E95A08"/>
    <w:rsid w:val="00EA15BD"/>
    <w:rsid w:val="00EA32AC"/>
    <w:rsid w:val="00F93653"/>
    <w:rsid w:val="00FF0B73"/>
    <w:rsid w:val="00FF0E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11"/>
    <w:qFormat/>
    <w:uiPriority w:val="0"/>
    <w:pPr>
      <w:widowControl w:val="0"/>
      <w:jc w:val="both"/>
    </w:pPr>
    <w:rPr>
      <w:rFonts w:cs="Times New Roman" w:asciiTheme="minorHAnsi" w:hAnsiTheme="minorHAnsi" w:eastAsiaTheme="minorEastAsia"/>
      <w:kern w:val="2"/>
      <w:sz w:val="3276"/>
      <w:szCs w:val="3276"/>
      <w:lang w:val="en-US" w:eastAsia="zh-CN" w:bidi="ar-SA"/>
    </w:rPr>
  </w:style>
  <w:style w:type="paragraph" w:customStyle="1" w:styleId="6">
    <w:name w:val="1111"/>
    <w:uiPriority w:val="0"/>
    <w:pPr>
      <w:keepNext/>
      <w:pageBreakBefore/>
      <w:shd w:val="clear" w:color="FFFFFF" w:fill="FFFFFF"/>
      <w:spacing w:before="640" w:after="560" w:line="460" w:lineRule="exact"/>
      <w:jc w:val="center"/>
      <w:outlineLvl w:val="0"/>
    </w:pPr>
    <w:rPr>
      <w:rFonts w:ascii="黑体" w:hAnsi="Times New Roman" w:eastAsia="黑体" w:cs="Times New Roman"/>
      <w:kern w:val="0"/>
      <w:sz w:val="32"/>
      <w:szCs w:val="20"/>
      <w:lang w:val="en-US" w:eastAsia="zh-CN" w:bidi="ar-SA"/>
    </w:rPr>
  </w:style>
  <w:style w:type="paragraph" w:customStyle="1" w:styleId="7">
    <w:name w:val="1112"/>
    <w:uiPriority w:val="0"/>
    <w:pPr>
      <w:keepNext/>
      <w:pageBreakBefore/>
      <w:shd w:val="clear" w:color="FFFFFF" w:fill="FFFFFF"/>
      <w:spacing w:before="640" w:after="560" w:line="460" w:lineRule="exact"/>
      <w:jc w:val="center"/>
      <w:outlineLvl w:val="0"/>
    </w:pPr>
    <w:rPr>
      <w:rFonts w:ascii="黑体" w:hAnsi="Times New Roman" w:eastAsia="黑体" w:cs="Times New Roman"/>
      <w:kern w:val="0"/>
      <w:sz w:val="32"/>
      <w:szCs w:val="20"/>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17</Pages>
  <Words>1861</Words>
  <Characters>10610</Characters>
  <Lines>88</Lines>
  <Paragraphs>24</Paragraphs>
  <TotalTime>18</TotalTime>
  <ScaleCrop>false</ScaleCrop>
  <LinksUpToDate>false</LinksUpToDate>
  <CharactersWithSpaces>12447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2020-09-06T06:39:00Z</dcterms:created>
  <dc:creator>CNIS</dc:creator>
  <cp:lastModifiedBy>蓝蓝</cp:lastModifiedBy>
  <dcterms:modified xsi:type="dcterms:W3CDTF">2020-09-30T00:28:22Z</dcterms:modified>
  <dc:title>标准名称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