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BA" w:rsidRDefault="004639BA" w:rsidP="008E4B5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4639BA" w:rsidRDefault="004639BA" w:rsidP="008E4B5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39BA" w:rsidRDefault="004639BA" w:rsidP="008E4B5E">
      <w:pPr>
        <w:spacing w:line="56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不合格检验项目小知识</w:t>
      </w:r>
    </w:p>
    <w:p w:rsidR="004639BA" w:rsidRDefault="004639BA" w:rsidP="008E4B5E">
      <w:pPr>
        <w:spacing w:line="56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bookmarkStart w:id="0" w:name="_GoBack"/>
    </w:p>
    <w:bookmarkEnd w:id="0"/>
    <w:p w:rsidR="00085955" w:rsidRDefault="00483D2F" w:rsidP="00483D2F">
      <w:pPr>
        <w:spacing w:line="560" w:lineRule="exact"/>
        <w:ind w:firstLineChars="200" w:firstLine="64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、氧乐果</w:t>
      </w:r>
    </w:p>
    <w:p w:rsidR="00085955" w:rsidRDefault="00085955" w:rsidP="0008595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氧乐果是一种有机磷杀虫、杀螨剂，对害虫击倒力快。具有较强的内吸、触杀和一定的胃毒作用。《食品安全国家标准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）中规定，氧乐果在豆类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蔬菜中的最大残留限量值为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0.02mg/kg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茄子中</w:t>
      </w:r>
      <w:r>
        <w:rPr>
          <w:rFonts w:ascii="Times New Roman" w:eastAsia="仿宋_GB2312" w:hAnsi="Times New Roman" w:cs="Times New Roman"/>
          <w:sz w:val="32"/>
          <w:szCs w:val="32"/>
        </w:rPr>
        <w:t>氧乐果超标的原因，可能是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种植户</w:t>
      </w:r>
      <w:r>
        <w:rPr>
          <w:rFonts w:ascii="Times New Roman" w:eastAsia="仿宋_GB2312" w:hAnsi="Times New Roman" w:cs="Times New Roman"/>
          <w:sz w:val="32"/>
          <w:szCs w:val="32"/>
        </w:rPr>
        <w:t>对使用农药的安全间隔期不了解，从而违规使用农药。</w:t>
      </w:r>
    </w:p>
    <w:p w:rsidR="00085955" w:rsidRDefault="00483D2F" w:rsidP="00085955">
      <w:pPr>
        <w:spacing w:line="56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二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、铝的残留量(干样品，以Al计)</w:t>
      </w:r>
    </w:p>
    <w:p w:rsidR="004629CA" w:rsidRPr="004629CA" w:rsidRDefault="004629CA" w:rsidP="004629CA">
      <w:pPr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硫酸铝钾（又名钾明矾）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硫酸铝铵（又名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铵明矶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）是食品加工中常用的膨松剂和稳定剂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使用后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产生铝残留。《食品安全国家标准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食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添加剂使用标准》（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—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）中规定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粉丝粉条（干样品）中铝的最大残留限量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值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200mgkg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土豆粉中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铝的残留量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超标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的原因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可能是商家过量使用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相关食品添加剂。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长期摄入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铝残留超标的食品，可能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影响人体对铁、钙等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营养元素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的吸收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，从而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导致骨质疏松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贫血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等，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甚至影响神经细胞的发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育。</w:t>
      </w:r>
    </w:p>
    <w:p w:rsidR="00085955" w:rsidRDefault="00483D2F" w:rsidP="00085955">
      <w:pPr>
        <w:spacing w:line="56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三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、酒精度</w:t>
      </w:r>
    </w:p>
    <w:p w:rsidR="00085955" w:rsidRPr="00085955" w:rsidRDefault="00085955" w:rsidP="0008595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酒精度又叫酒度，是指在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℃时，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毫升酒中含有乙醇（酒精）的毫升数，即体积（容量）的百分数。酒精度是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白酒的质量指标，《酱香型白酒》（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GB/T 26760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）、《清香型白酒》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GB/T 10781.2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2006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）中规定，酒精度实测值与产品标签明示要求允许差为±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1.0%vol</w:t>
      </w:r>
      <w:r w:rsidRPr="00FC099F">
        <w:rPr>
          <w:rFonts w:ascii="Times New Roman" w:eastAsia="仿宋_GB2312" w:hAnsi="Times New Roman" w:cs="Times New Roman" w:hint="eastAsia"/>
          <w:sz w:val="32"/>
          <w:szCs w:val="32"/>
        </w:rPr>
        <w:t>，其含量应符合相关要求。酒精度未达到产品标签明示要求的原因，可能是包装不严密造成酒精挥发；还可能是企业用低度酒冒充高度酒。</w:t>
      </w:r>
    </w:p>
    <w:p w:rsidR="00085955" w:rsidRDefault="00483D2F" w:rsidP="00085955">
      <w:pPr>
        <w:spacing w:line="56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四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、甜蜜素(以</w:t>
      </w:r>
      <w:proofErr w:type="gramStart"/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环己基氨基磺酸</w:t>
      </w:r>
      <w:proofErr w:type="gramEnd"/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计)</w:t>
      </w:r>
    </w:p>
    <w:p w:rsidR="00085955" w:rsidRDefault="00085955" w:rsidP="0008595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甜蜜素（以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计）是食品生产中常用的甜味剂。《食品安全国家标准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）中规定，白酒中不得使用甜蜜素。白酒中检出甜蜜素的原因，可能是生产企业为改善成品白酒的口感，从而违规添加甜蜜素；也可能是白酒、配制酒生产过程中交叉污染。</w:t>
      </w:r>
    </w:p>
    <w:p w:rsidR="00085955" w:rsidRDefault="00483D2F" w:rsidP="00085955">
      <w:pPr>
        <w:spacing w:line="56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五</w:t>
      </w:r>
      <w:r w:rsidR="00085955" w:rsidRPr="00085955">
        <w:rPr>
          <w:rFonts w:ascii="黑体" w:eastAsia="黑体" w:hAnsi="黑体" w:hint="eastAsia"/>
          <w:spacing w:val="-12"/>
          <w:sz w:val="32"/>
          <w:szCs w:val="32"/>
        </w:rPr>
        <w:t>、氯氰菊酯和高效氯氰菊酯</w:t>
      </w:r>
    </w:p>
    <w:p w:rsidR="004629CA" w:rsidRDefault="004629CA" w:rsidP="004629CA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氯氰菊酯和高效氯氰菊酯是一种拟除虫菊酯类杀虫剂，具有广谱、高效、快速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>
        <w:rPr>
          <w:rFonts w:ascii="Times New Roman" w:eastAsia="仿宋_GB2312" w:hAnsi="Times New Roman" w:cs="Times New Roman"/>
          <w:sz w:val="32"/>
          <w:szCs w:val="32"/>
        </w:rPr>
        <w:t>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）中规定，氯氰菊酯和高效氯氰菊酯在韭菜中的最大残留限量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值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1mg/kg</w:t>
      </w:r>
      <w:r>
        <w:rPr>
          <w:rFonts w:ascii="Times New Roman" w:eastAsia="仿宋_GB2312" w:hAnsi="Times New Roman" w:cs="Times New Roman"/>
          <w:sz w:val="32"/>
          <w:szCs w:val="32"/>
        </w:rPr>
        <w:t>。韭菜中氯氰菊酯和高效氯氰菊酯超标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的原因</w:t>
      </w:r>
      <w:r>
        <w:rPr>
          <w:rFonts w:ascii="Times New Roman" w:eastAsia="仿宋_GB2312" w:hAnsi="Times New Roman" w:cs="Times New Roman"/>
          <w:sz w:val="32"/>
          <w:szCs w:val="32"/>
        </w:rPr>
        <w:t>，可能是菜农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使用农药的安全间隔期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不了解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从而</w:t>
      </w:r>
      <w:r>
        <w:rPr>
          <w:rFonts w:ascii="Times New Roman" w:eastAsia="仿宋_GB2312" w:hAnsi="Times New Roman" w:cs="Times New Roman"/>
          <w:sz w:val="32"/>
          <w:szCs w:val="32"/>
        </w:rPr>
        <w:t>违规使用或滥用农药。食用氯氰菊酯和高效氯氰菊酯超标的食品，可能引起头痛，头昏，恶心，呕吐、肌肉震颤、抽搐等症状。</w:t>
      </w:r>
    </w:p>
    <w:p w:rsidR="004629CA" w:rsidRPr="004629CA" w:rsidRDefault="004629CA" w:rsidP="00085955">
      <w:pPr>
        <w:spacing w:line="560" w:lineRule="exact"/>
        <w:ind w:firstLineChars="200" w:firstLine="592"/>
        <w:rPr>
          <w:rFonts w:ascii="黑体" w:eastAsia="黑体" w:hAnsi="黑体"/>
          <w:spacing w:val="-12"/>
          <w:sz w:val="32"/>
          <w:szCs w:val="32"/>
        </w:rPr>
      </w:pPr>
    </w:p>
    <w:sectPr w:rsidR="004629CA" w:rsidRPr="0046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AC" w:rsidRDefault="00BE44AC" w:rsidP="001543D1">
      <w:r>
        <w:separator/>
      </w:r>
    </w:p>
  </w:endnote>
  <w:endnote w:type="continuationSeparator" w:id="0">
    <w:p w:rsidR="00BE44AC" w:rsidRDefault="00BE44AC" w:rsidP="001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AC" w:rsidRDefault="00BE44AC" w:rsidP="001543D1">
      <w:r>
        <w:separator/>
      </w:r>
    </w:p>
  </w:footnote>
  <w:footnote w:type="continuationSeparator" w:id="0">
    <w:p w:rsidR="00BE44AC" w:rsidRDefault="00BE44AC" w:rsidP="0015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E8"/>
    <w:multiLevelType w:val="hybridMultilevel"/>
    <w:tmpl w:val="B1B4BE0E"/>
    <w:lvl w:ilvl="0" w:tplc="30D49E56">
      <w:start w:val="1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19F57A9E"/>
    <w:multiLevelType w:val="hybridMultilevel"/>
    <w:tmpl w:val="49220402"/>
    <w:lvl w:ilvl="0" w:tplc="A6021A90">
      <w:start w:val="7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5E96696A"/>
    <w:multiLevelType w:val="hybridMultilevel"/>
    <w:tmpl w:val="A538CE08"/>
    <w:lvl w:ilvl="0" w:tplc="212A999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E1"/>
    <w:rsid w:val="0003502D"/>
    <w:rsid w:val="00085955"/>
    <w:rsid w:val="000A5AD3"/>
    <w:rsid w:val="001543D1"/>
    <w:rsid w:val="001632F5"/>
    <w:rsid w:val="00170115"/>
    <w:rsid w:val="0018586F"/>
    <w:rsid w:val="001F7637"/>
    <w:rsid w:val="00231528"/>
    <w:rsid w:val="002C3249"/>
    <w:rsid w:val="002D1501"/>
    <w:rsid w:val="00355B19"/>
    <w:rsid w:val="00385400"/>
    <w:rsid w:val="003F49D0"/>
    <w:rsid w:val="004629CA"/>
    <w:rsid w:val="004639BA"/>
    <w:rsid w:val="00473B18"/>
    <w:rsid w:val="00483D2F"/>
    <w:rsid w:val="0048783F"/>
    <w:rsid w:val="004E2F82"/>
    <w:rsid w:val="004F01C5"/>
    <w:rsid w:val="00524DF4"/>
    <w:rsid w:val="00550CE1"/>
    <w:rsid w:val="005B1BB8"/>
    <w:rsid w:val="00797EDD"/>
    <w:rsid w:val="007A6500"/>
    <w:rsid w:val="007B60BE"/>
    <w:rsid w:val="007E7652"/>
    <w:rsid w:val="008A6FFF"/>
    <w:rsid w:val="008B71F7"/>
    <w:rsid w:val="008E4B5E"/>
    <w:rsid w:val="00913752"/>
    <w:rsid w:val="00955AE3"/>
    <w:rsid w:val="009967DB"/>
    <w:rsid w:val="00A541BE"/>
    <w:rsid w:val="00A676AA"/>
    <w:rsid w:val="00BC2A7C"/>
    <w:rsid w:val="00BE02E9"/>
    <w:rsid w:val="00BE44AC"/>
    <w:rsid w:val="00C9702C"/>
    <w:rsid w:val="00CB18E1"/>
    <w:rsid w:val="00D737CB"/>
    <w:rsid w:val="00D81089"/>
    <w:rsid w:val="00D977F1"/>
    <w:rsid w:val="00E548B8"/>
    <w:rsid w:val="00E816F3"/>
    <w:rsid w:val="00E90F87"/>
    <w:rsid w:val="00EC084D"/>
    <w:rsid w:val="00F365A8"/>
    <w:rsid w:val="00FC099F"/>
    <w:rsid w:val="00FD15EE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3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3D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4F01C5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2C3249"/>
    <w:rPr>
      <w:color w:val="0000FF"/>
      <w:u w:val="single"/>
    </w:rPr>
  </w:style>
  <w:style w:type="character" w:styleId="a7">
    <w:name w:val="Strong"/>
    <w:basedOn w:val="a0"/>
    <w:uiPriority w:val="22"/>
    <w:qFormat/>
    <w:rsid w:val="00163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3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3D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4F01C5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2C3249"/>
    <w:rPr>
      <w:color w:val="0000FF"/>
      <w:u w:val="single"/>
    </w:rPr>
  </w:style>
  <w:style w:type="character" w:styleId="a7">
    <w:name w:val="Strong"/>
    <w:basedOn w:val="a0"/>
    <w:uiPriority w:val="22"/>
    <w:qFormat/>
    <w:rsid w:val="0016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147</Words>
  <Characters>842</Characters>
  <Application>Microsoft Office Word</Application>
  <DocSecurity>0</DocSecurity>
  <Lines>7</Lines>
  <Paragraphs>1</Paragraphs>
  <ScaleCrop>false</ScaleCrop>
  <Company>Lenovo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2020-08-31T10:10:00Z</dcterms:created>
  <dcterms:modified xsi:type="dcterms:W3CDTF">2020-10-16T09:28:00Z</dcterms:modified>
</cp:coreProperties>
</file>