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F6" w:rsidRDefault="00380A74">
      <w:pPr>
        <w:rPr>
          <w:rFonts w:ascii="黑体" w:eastAsia="黑体" w:hAnsi="黑体"/>
          <w:sz w:val="32"/>
          <w:szCs w:val="32"/>
        </w:rPr>
      </w:pPr>
      <w:r>
        <w:rPr>
          <w:rFonts w:ascii="黑体" w:eastAsia="黑体" w:hAnsi="黑体" w:hint="eastAsia"/>
          <w:sz w:val="32"/>
          <w:szCs w:val="32"/>
        </w:rPr>
        <w:t>附件3</w:t>
      </w:r>
    </w:p>
    <w:p w:rsidR="003B4888" w:rsidRDefault="003B4888" w:rsidP="00DE5E71">
      <w:pPr>
        <w:spacing w:before="140" w:after="140" w:line="600" w:lineRule="exact"/>
        <w:jc w:val="center"/>
        <w:rPr>
          <w:rFonts w:ascii="方正小标宋简体" w:eastAsia="方正小标宋简体" w:hAnsiTheme="majorEastAsia" w:cstheme="majorEastAsia"/>
          <w:sz w:val="44"/>
          <w:szCs w:val="44"/>
        </w:rPr>
      </w:pPr>
    </w:p>
    <w:p w:rsidR="00A01BF0" w:rsidRDefault="00A01BF0" w:rsidP="00A01BF0">
      <w:pPr>
        <w:spacing w:line="594" w:lineRule="exact"/>
        <w:jc w:val="center"/>
        <w:rPr>
          <w:rFonts w:eastAsia="方正小标宋简体"/>
          <w:sz w:val="44"/>
          <w:szCs w:val="44"/>
        </w:rPr>
      </w:pPr>
      <w:r>
        <w:rPr>
          <w:rFonts w:eastAsia="方正小标宋简体" w:hint="eastAsia"/>
          <w:sz w:val="44"/>
          <w:szCs w:val="44"/>
        </w:rPr>
        <w:t>部分不合格检验项目小知识</w:t>
      </w:r>
    </w:p>
    <w:p w:rsidR="00A01BF0" w:rsidRPr="00A01BF0" w:rsidRDefault="00A01BF0" w:rsidP="00A01BF0">
      <w:pPr>
        <w:pStyle w:val="a0"/>
        <w:rPr>
          <w:rFonts w:hint="eastAsia"/>
        </w:rPr>
      </w:pPr>
    </w:p>
    <w:p w:rsidR="004F1985" w:rsidRPr="00A01BF0" w:rsidRDefault="009A4A67" w:rsidP="004F1985">
      <w:pPr>
        <w:spacing w:line="594" w:lineRule="exact"/>
        <w:ind w:firstLineChars="200" w:firstLine="643"/>
        <w:rPr>
          <w:rFonts w:ascii="仿宋_GB2312" w:eastAsia="仿宋_GB2312" w:hAnsi="黑体" w:hint="eastAsia"/>
          <w:b/>
          <w:sz w:val="32"/>
          <w:szCs w:val="32"/>
        </w:rPr>
      </w:pPr>
      <w:r w:rsidRPr="00A01BF0">
        <w:rPr>
          <w:rFonts w:ascii="仿宋_GB2312" w:eastAsia="仿宋_GB2312" w:hAnsi="宋体" w:hint="eastAsia"/>
          <w:b/>
          <w:sz w:val="32"/>
          <w:szCs w:val="32"/>
        </w:rPr>
        <w:t>一</w:t>
      </w:r>
      <w:r w:rsidR="00AF7CA4" w:rsidRPr="00A01BF0">
        <w:rPr>
          <w:rFonts w:ascii="仿宋_GB2312" w:eastAsia="仿宋_GB2312" w:hAnsi="宋体" w:hint="eastAsia"/>
          <w:b/>
          <w:sz w:val="32"/>
          <w:szCs w:val="32"/>
        </w:rPr>
        <w:t>、</w:t>
      </w:r>
      <w:r w:rsidR="004F1985" w:rsidRPr="00A01BF0">
        <w:rPr>
          <w:rFonts w:ascii="仿宋_GB2312" w:eastAsia="仿宋_GB2312" w:hAnsi="黑体" w:hint="eastAsia"/>
          <w:b/>
          <w:sz w:val="32"/>
          <w:szCs w:val="32"/>
        </w:rPr>
        <w:t>腐霉利</w:t>
      </w:r>
    </w:p>
    <w:p w:rsidR="004F1985" w:rsidRPr="003B4888" w:rsidRDefault="004F1985" w:rsidP="004F1985">
      <w:pPr>
        <w:ind w:firstLineChars="200" w:firstLine="640"/>
        <w:rPr>
          <w:rFonts w:ascii="仿宋_GB2312" w:eastAsia="仿宋_GB2312" w:hint="eastAsia"/>
          <w:sz w:val="32"/>
          <w:szCs w:val="32"/>
        </w:rPr>
      </w:pPr>
      <w:r w:rsidRPr="003B4888">
        <w:rPr>
          <w:rFonts w:ascii="仿宋_GB2312" w:eastAsia="仿宋_GB2312" w:hint="eastAsia"/>
          <w:sz w:val="32"/>
          <w:szCs w:val="32"/>
        </w:rPr>
        <w:t>腐霉利是一种广谱内吸性的高效杀菌剂，对低温高湿条件下发生的灰霉病、菌核病有显著效果，但菌株容易对其产生抗性。《食品安全国家标准 食品中农药最大残留限量》（GB 2763—2019）中规定，腐霉利在韭菜中的最大残留限量值为0.2mg/kg。韭菜中腐霉利超标的原因，可能是菜农未遵守采摘间隔期，为快速控制病情而加大用药量，致使上市销售时未降解至标准限量值以下。</w:t>
      </w:r>
    </w:p>
    <w:p w:rsidR="004F1985" w:rsidRPr="00A01BF0" w:rsidRDefault="004F1985" w:rsidP="004F1985">
      <w:pPr>
        <w:spacing w:line="594" w:lineRule="exact"/>
        <w:ind w:firstLineChars="200" w:firstLine="594"/>
        <w:rPr>
          <w:rFonts w:ascii="仿宋_GB2312" w:eastAsia="仿宋_GB2312" w:hint="eastAsia"/>
          <w:b/>
          <w:spacing w:val="-12"/>
          <w:sz w:val="32"/>
          <w:szCs w:val="32"/>
        </w:rPr>
      </w:pPr>
      <w:r w:rsidRPr="00A01BF0">
        <w:rPr>
          <w:rFonts w:ascii="仿宋_GB2312" w:eastAsia="仿宋_GB2312" w:hint="eastAsia"/>
          <w:b/>
          <w:spacing w:val="-12"/>
          <w:sz w:val="32"/>
          <w:szCs w:val="32"/>
        </w:rPr>
        <w:t>二、氰戊菊酯和S-氰戊菊酯</w:t>
      </w:r>
    </w:p>
    <w:p w:rsidR="004F1985" w:rsidRPr="003B4888" w:rsidRDefault="004F1985" w:rsidP="004F1985">
      <w:pPr>
        <w:spacing w:line="594" w:lineRule="exact"/>
        <w:ind w:firstLineChars="200" w:firstLine="640"/>
        <w:rPr>
          <w:rFonts w:ascii="仿宋_GB2312" w:eastAsia="仿宋_GB2312" w:hint="eastAsia"/>
          <w:color w:val="191919"/>
          <w:sz w:val="32"/>
          <w:szCs w:val="32"/>
        </w:rPr>
      </w:pPr>
      <w:r w:rsidRPr="003B4888">
        <w:rPr>
          <w:rFonts w:ascii="仿宋_GB2312" w:eastAsia="仿宋_GB2312" w:hint="eastAsia"/>
          <w:sz w:val="32"/>
          <w:szCs w:val="32"/>
        </w:rPr>
        <w:t>氰戊菊酯和S-氰戊菊酯是一种广谱高效拟除虫菊酯杀虫剂，对害虫具触杀、胃毒作用，适用于多种作物的害虫防治。</w:t>
      </w:r>
      <w:r w:rsidRPr="003B4888">
        <w:rPr>
          <w:rFonts w:ascii="仿宋_GB2312" w:eastAsia="仿宋_GB2312" w:hint="eastAsia"/>
          <w:color w:val="191919"/>
          <w:sz w:val="32"/>
          <w:szCs w:val="32"/>
        </w:rPr>
        <w:t>长期饮用</w:t>
      </w:r>
      <w:r w:rsidRPr="003B4888">
        <w:rPr>
          <w:rFonts w:ascii="仿宋_GB2312" w:eastAsia="仿宋_GB2312" w:hint="eastAsia"/>
          <w:sz w:val="32"/>
          <w:szCs w:val="32"/>
        </w:rPr>
        <w:t>氰戊菊酯和S-氰戊菊酯</w:t>
      </w:r>
      <w:r w:rsidRPr="003B4888">
        <w:rPr>
          <w:rFonts w:ascii="仿宋_GB2312" w:eastAsia="仿宋_GB2312" w:hint="eastAsia"/>
          <w:color w:val="191919"/>
          <w:sz w:val="32"/>
          <w:szCs w:val="32"/>
        </w:rPr>
        <w:t>超标的茶叶，虽然不会导致急性中毒，但对人体健康造成一定的影响。《食品</w:t>
      </w:r>
      <w:r w:rsidRPr="003B4888">
        <w:rPr>
          <w:rFonts w:ascii="仿宋_GB2312" w:eastAsia="仿宋_GB2312" w:hint="eastAsia"/>
          <w:sz w:val="32"/>
          <w:szCs w:val="32"/>
        </w:rPr>
        <w:t>安全国家标准 食品中农药最大残留限量》（GB 2763—2016）中规定，氰戊菊酯和S-氰戊菊酯在茶叶中的最大残留限量值为0.1mg/kg。茶叶中氰戊菊酯和S-氰戊菊酯超标的原因，可能是茶农违规使用相关农药，也可能是环境中残留农药的迁移性污染。</w:t>
      </w:r>
    </w:p>
    <w:p w:rsidR="00EA402C" w:rsidRDefault="00EA402C" w:rsidP="004F1985">
      <w:pPr>
        <w:spacing w:line="594" w:lineRule="exact"/>
        <w:ind w:firstLineChars="200" w:firstLine="594"/>
        <w:rPr>
          <w:rFonts w:ascii="仿宋_GB2312" w:eastAsia="仿宋_GB2312" w:hAnsi="黑体"/>
          <w:b/>
          <w:spacing w:val="-12"/>
          <w:sz w:val="32"/>
          <w:szCs w:val="32"/>
        </w:rPr>
      </w:pPr>
    </w:p>
    <w:p w:rsidR="004F1985" w:rsidRPr="00A01BF0" w:rsidRDefault="003B4888" w:rsidP="004F1985">
      <w:pPr>
        <w:spacing w:line="594" w:lineRule="exact"/>
        <w:ind w:firstLineChars="200" w:firstLine="594"/>
        <w:rPr>
          <w:rFonts w:ascii="仿宋_GB2312" w:eastAsia="仿宋_GB2312" w:hAnsi="黑体" w:hint="eastAsia"/>
          <w:b/>
          <w:spacing w:val="-12"/>
          <w:sz w:val="32"/>
          <w:szCs w:val="32"/>
        </w:rPr>
      </w:pPr>
      <w:r w:rsidRPr="00A01BF0">
        <w:rPr>
          <w:rFonts w:ascii="仿宋_GB2312" w:eastAsia="仿宋_GB2312" w:hAnsi="黑体" w:hint="eastAsia"/>
          <w:b/>
          <w:spacing w:val="-12"/>
          <w:sz w:val="32"/>
          <w:szCs w:val="32"/>
        </w:rPr>
        <w:lastRenderedPageBreak/>
        <w:t>三</w:t>
      </w:r>
      <w:r w:rsidR="004F1985" w:rsidRPr="00A01BF0">
        <w:rPr>
          <w:rFonts w:ascii="仿宋_GB2312" w:eastAsia="仿宋_GB2312" w:hAnsi="黑体" w:hint="eastAsia"/>
          <w:b/>
          <w:spacing w:val="-12"/>
          <w:sz w:val="32"/>
          <w:szCs w:val="32"/>
        </w:rPr>
        <w:t>、脱氢乙酸及其钠盐(以脱氢乙酸计)</w:t>
      </w:r>
    </w:p>
    <w:p w:rsidR="004F1985" w:rsidRPr="003B4888" w:rsidRDefault="004F1985" w:rsidP="004F1985">
      <w:pPr>
        <w:spacing w:line="594" w:lineRule="exact"/>
        <w:ind w:firstLineChars="200" w:firstLine="640"/>
        <w:rPr>
          <w:rFonts w:ascii="仿宋_GB2312" w:eastAsia="仿宋_GB2312" w:hint="eastAsia"/>
          <w:sz w:val="32"/>
          <w:szCs w:val="32"/>
        </w:rPr>
      </w:pPr>
      <w:r w:rsidRPr="003B4888">
        <w:rPr>
          <w:rFonts w:ascii="仿宋_GB2312" w:eastAsia="仿宋_GB2312" w:hint="eastAsia"/>
          <w:sz w:val="32"/>
          <w:szCs w:val="32"/>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2014）中规定，月饼中脱氢乙酸及其钠盐的最大使用量为0.5g/kg。月饼中脱氢乙酸及其钠盐超标的原因，可能是个别企业为防止食品腐败变质超限量使用了该添加剂，也可能是其使用的复配添加剂中该添加剂含量较高，还可能是在添加过程中未准确计量。</w:t>
      </w:r>
    </w:p>
    <w:p w:rsidR="004F1985" w:rsidRPr="00A01BF0" w:rsidRDefault="004F1985" w:rsidP="00A01BF0">
      <w:pPr>
        <w:pStyle w:val="ac"/>
        <w:numPr>
          <w:ilvl w:val="0"/>
          <w:numId w:val="6"/>
        </w:numPr>
        <w:ind w:firstLineChars="0"/>
        <w:rPr>
          <w:rFonts w:ascii="仿宋_GB2312" w:eastAsia="仿宋_GB2312" w:hint="eastAsia"/>
          <w:b/>
          <w:bCs/>
          <w:color w:val="000000"/>
          <w:sz w:val="32"/>
          <w:szCs w:val="32"/>
        </w:rPr>
      </w:pPr>
      <w:r w:rsidRPr="00A01BF0">
        <w:rPr>
          <w:rFonts w:ascii="仿宋_GB2312" w:eastAsia="仿宋_GB2312" w:hint="eastAsia"/>
          <w:b/>
          <w:bCs/>
          <w:color w:val="000000"/>
          <w:sz w:val="32"/>
          <w:szCs w:val="32"/>
        </w:rPr>
        <w:t>甜蜜素(以环己基氨基磺酸计)</w:t>
      </w:r>
    </w:p>
    <w:p w:rsidR="004F1985" w:rsidRPr="003B4888" w:rsidRDefault="004F1985" w:rsidP="004F1985">
      <w:pPr>
        <w:ind w:left="636"/>
        <w:rPr>
          <w:rFonts w:ascii="仿宋_GB2312" w:eastAsia="仿宋_GB2312" w:hint="eastAsia"/>
          <w:bCs/>
          <w:color w:val="000000"/>
          <w:sz w:val="32"/>
          <w:szCs w:val="32"/>
        </w:rPr>
      </w:pPr>
      <w:r w:rsidRPr="003B4888">
        <w:rPr>
          <w:rFonts w:ascii="仿宋_GB2312" w:eastAsia="仿宋_GB2312" w:hint="eastAsia"/>
          <w:bCs/>
          <w:color w:val="000000"/>
          <w:sz w:val="32"/>
          <w:szCs w:val="32"/>
        </w:rPr>
        <w:t>甜蜜素，其化学名称为环己基氨基磺酸钠，是一种常用</w:t>
      </w:r>
    </w:p>
    <w:p w:rsidR="004F1985" w:rsidRPr="003B4888" w:rsidRDefault="004F1985" w:rsidP="004F1985">
      <w:pPr>
        <w:rPr>
          <w:rFonts w:ascii="仿宋_GB2312" w:eastAsia="仿宋_GB2312" w:hint="eastAsia"/>
          <w:bCs/>
          <w:color w:val="000000"/>
          <w:sz w:val="32"/>
          <w:szCs w:val="32"/>
        </w:rPr>
      </w:pPr>
      <w:r w:rsidRPr="003B4888">
        <w:rPr>
          <w:rFonts w:ascii="仿宋_GB2312" w:eastAsia="仿宋_GB2312" w:hint="eastAsia"/>
          <w:bCs/>
          <w:color w:val="000000"/>
          <w:sz w:val="32"/>
          <w:szCs w:val="32"/>
        </w:rPr>
        <w:t>的合成甜味剂。甜蜜素超标的原因，可能是个别企业为降低生产成本，同时为改善产品的口感，也可能是原辅料及生产环节把关不严造成的。</w:t>
      </w:r>
    </w:p>
    <w:p w:rsidR="004F1985" w:rsidRPr="00EA402C" w:rsidRDefault="004F1985" w:rsidP="00EA402C">
      <w:pPr>
        <w:pStyle w:val="ac"/>
        <w:numPr>
          <w:ilvl w:val="0"/>
          <w:numId w:val="6"/>
        </w:numPr>
        <w:ind w:firstLineChars="0"/>
        <w:rPr>
          <w:rFonts w:ascii="仿宋_GB2312" w:eastAsia="仿宋_GB2312" w:hint="eastAsia"/>
          <w:b/>
          <w:bCs/>
          <w:color w:val="000000"/>
          <w:sz w:val="32"/>
          <w:szCs w:val="32"/>
        </w:rPr>
      </w:pPr>
      <w:r w:rsidRPr="00EA402C">
        <w:rPr>
          <w:rFonts w:ascii="仿宋_GB2312" w:eastAsia="仿宋_GB2312" w:hint="eastAsia"/>
          <w:b/>
          <w:bCs/>
          <w:color w:val="000000"/>
          <w:sz w:val="32"/>
          <w:szCs w:val="32"/>
        </w:rPr>
        <w:t>镉(以Cd计)</w:t>
      </w:r>
      <w:bookmarkStart w:id="0" w:name="_GoBack"/>
      <w:bookmarkEnd w:id="0"/>
    </w:p>
    <w:p w:rsidR="004F1985" w:rsidRPr="003B4888" w:rsidRDefault="004F1985" w:rsidP="004F1985">
      <w:pPr>
        <w:ind w:left="636"/>
        <w:rPr>
          <w:rFonts w:ascii="仿宋_GB2312" w:eastAsia="仿宋_GB2312" w:hint="eastAsia"/>
          <w:bCs/>
          <w:color w:val="000000"/>
          <w:sz w:val="32"/>
          <w:szCs w:val="32"/>
        </w:rPr>
      </w:pPr>
      <w:r w:rsidRPr="003B4888">
        <w:rPr>
          <w:rFonts w:ascii="仿宋_GB2312" w:eastAsia="仿宋_GB2312" w:hint="eastAsia"/>
          <w:bCs/>
          <w:color w:val="000000"/>
          <w:sz w:val="32"/>
          <w:szCs w:val="32"/>
        </w:rPr>
        <w:t>镉是最常见的重金属元素污染物之一。镉对人体的危害</w:t>
      </w:r>
    </w:p>
    <w:p w:rsidR="004F1985" w:rsidRPr="003B4888" w:rsidRDefault="004F1985" w:rsidP="004F1985">
      <w:pPr>
        <w:rPr>
          <w:rFonts w:ascii="仿宋_GB2312" w:eastAsia="仿宋_GB2312" w:hint="eastAsia"/>
          <w:bCs/>
          <w:color w:val="000000"/>
          <w:sz w:val="32"/>
          <w:szCs w:val="32"/>
        </w:rPr>
      </w:pPr>
      <w:r w:rsidRPr="003B4888">
        <w:rPr>
          <w:rFonts w:ascii="仿宋_GB2312" w:eastAsia="仿宋_GB2312" w:hint="eastAsia"/>
          <w:bCs/>
          <w:color w:val="000000"/>
          <w:sz w:val="32"/>
          <w:szCs w:val="32"/>
        </w:rPr>
        <w:t>主要是慢性蓄积性。长期大量摄入镉含量超标的食品可能会导致肾和骨骼损伤等健康危害。</w:t>
      </w:r>
    </w:p>
    <w:p w:rsidR="004F1985" w:rsidRPr="004F1985" w:rsidRDefault="004F1985" w:rsidP="004F1985">
      <w:pPr>
        <w:pStyle w:val="a0"/>
        <w:rPr>
          <w:rFonts w:hint="eastAsia"/>
        </w:rPr>
      </w:pPr>
    </w:p>
    <w:p w:rsidR="004F1985" w:rsidRPr="004F1985" w:rsidRDefault="004F1985" w:rsidP="004F1985">
      <w:pPr>
        <w:pStyle w:val="a0"/>
        <w:rPr>
          <w:rFonts w:hint="eastAsia"/>
        </w:rPr>
      </w:pPr>
    </w:p>
    <w:p w:rsidR="00CB08F1" w:rsidRPr="00DE5E71" w:rsidRDefault="00CB08F1" w:rsidP="00A01BF0">
      <w:pPr>
        <w:pStyle w:val="a0"/>
        <w:rPr>
          <w:rFonts w:ascii="宋体" w:hAnsi="宋体" w:hint="eastAsia"/>
          <w:b/>
          <w:sz w:val="30"/>
          <w:szCs w:val="30"/>
        </w:rPr>
      </w:pPr>
    </w:p>
    <w:p w:rsidR="006434F6" w:rsidRPr="00DE5E71" w:rsidRDefault="006434F6" w:rsidP="00A01BF0">
      <w:pPr>
        <w:widowControl/>
        <w:spacing w:line="600" w:lineRule="exact"/>
        <w:ind w:rightChars="-300" w:right="-630"/>
        <w:jc w:val="left"/>
        <w:rPr>
          <w:rFonts w:ascii="宋体" w:hAnsi="宋体" w:hint="eastAsia"/>
          <w:sz w:val="30"/>
          <w:szCs w:val="30"/>
        </w:rPr>
      </w:pPr>
    </w:p>
    <w:sectPr w:rsidR="006434F6" w:rsidRPr="00DE5E71" w:rsidSect="00452860">
      <w:pgSz w:w="11906" w:h="16838"/>
      <w:pgMar w:top="1418"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dobe Gothic Std B">
    <w:altName w:val="MS UI Gothic"/>
    <w:charset w:val="80"/>
    <w:family w:val="swiss"/>
    <w:pitch w:val="default"/>
    <w:sig w:usb0="00000000" w:usb1="00000000" w:usb2="00000010" w:usb3="00000000" w:csb0="602A0005"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等线 Light">
    <w:altName w:val="宋体"/>
    <w:panose1 w:val="00000000000000000000"/>
    <w:charset w:val="86"/>
    <w:family w:val="roman"/>
    <w:notTrueType/>
    <w:pitch w:val="default"/>
  </w:font>
  <w:font w:name="仿宋_GB2312">
    <w:panose1 w:val="02010609030101010101"/>
    <w:charset w:val="86"/>
    <w:family w:val="modern"/>
    <w:pitch w:val="fixed"/>
    <w:sig w:usb0="00000001" w:usb1="080E0000" w:usb2="00000010" w:usb3="00000000" w:csb0="00040000" w:csb1="00000000"/>
  </w:font>
  <w:font w:name="DengXian">
    <w:altName w:val="宋体"/>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1D6D86"/>
    <w:multiLevelType w:val="singleLevel"/>
    <w:tmpl w:val="E31D6D86"/>
    <w:lvl w:ilvl="0">
      <w:start w:val="4"/>
      <w:numFmt w:val="chineseCounting"/>
      <w:suff w:val="nothing"/>
      <w:lvlText w:val="%1、"/>
      <w:lvlJc w:val="left"/>
      <w:rPr>
        <w:rFonts w:hint="eastAsia"/>
      </w:rPr>
    </w:lvl>
  </w:abstractNum>
  <w:abstractNum w:abstractNumId="1" w15:restartNumberingAfterBreak="0">
    <w:nsid w:val="071014A7"/>
    <w:multiLevelType w:val="hybridMultilevel"/>
    <w:tmpl w:val="F16AF4C8"/>
    <w:lvl w:ilvl="0" w:tplc="174064D6">
      <w:start w:val="4"/>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15:restartNumberingAfterBreak="0">
    <w:nsid w:val="34BB3268"/>
    <w:multiLevelType w:val="hybridMultilevel"/>
    <w:tmpl w:val="B73E55FC"/>
    <w:lvl w:ilvl="0" w:tplc="11FC6D04">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15:restartNumberingAfterBreak="0">
    <w:nsid w:val="3D1760EE"/>
    <w:multiLevelType w:val="hybridMultilevel"/>
    <w:tmpl w:val="411C1A88"/>
    <w:lvl w:ilvl="0" w:tplc="8D080594">
      <w:start w:val="4"/>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579C4108"/>
    <w:multiLevelType w:val="hybridMultilevel"/>
    <w:tmpl w:val="5142D5A0"/>
    <w:lvl w:ilvl="0" w:tplc="7C22B572">
      <w:start w:val="4"/>
      <w:numFmt w:val="japaneseCounting"/>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5" w15:restartNumberingAfterBreak="0">
    <w:nsid w:val="57B04CC6"/>
    <w:multiLevelType w:val="hybridMultilevel"/>
    <w:tmpl w:val="8F924CD8"/>
    <w:lvl w:ilvl="0" w:tplc="1CF2E026">
      <w:start w:val="8"/>
      <w:numFmt w:val="japaneseCounting"/>
      <w:lvlText w:val="%1、"/>
      <w:lvlJc w:val="left"/>
      <w:pPr>
        <w:ind w:left="1356" w:hanging="72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D"/>
    <w:rsid w:val="00046FBD"/>
    <w:rsid w:val="00085FF8"/>
    <w:rsid w:val="000925E7"/>
    <w:rsid w:val="00126F63"/>
    <w:rsid w:val="001358B4"/>
    <w:rsid w:val="00147F62"/>
    <w:rsid w:val="0015426F"/>
    <w:rsid w:val="0018348D"/>
    <w:rsid w:val="001B2AD4"/>
    <w:rsid w:val="002136DD"/>
    <w:rsid w:val="002E218D"/>
    <w:rsid w:val="002F208D"/>
    <w:rsid w:val="0033021F"/>
    <w:rsid w:val="00336393"/>
    <w:rsid w:val="00375CC1"/>
    <w:rsid w:val="00380A74"/>
    <w:rsid w:val="0039082E"/>
    <w:rsid w:val="003B0058"/>
    <w:rsid w:val="003B4888"/>
    <w:rsid w:val="003C76BC"/>
    <w:rsid w:val="00452860"/>
    <w:rsid w:val="00494309"/>
    <w:rsid w:val="004B383D"/>
    <w:rsid w:val="004F1985"/>
    <w:rsid w:val="00580142"/>
    <w:rsid w:val="00594F24"/>
    <w:rsid w:val="00596ACF"/>
    <w:rsid w:val="005D1331"/>
    <w:rsid w:val="00601AEF"/>
    <w:rsid w:val="00616D0C"/>
    <w:rsid w:val="006434F6"/>
    <w:rsid w:val="00686C72"/>
    <w:rsid w:val="006D2976"/>
    <w:rsid w:val="006E16CF"/>
    <w:rsid w:val="007A4ACF"/>
    <w:rsid w:val="007D2E66"/>
    <w:rsid w:val="00807427"/>
    <w:rsid w:val="0081476A"/>
    <w:rsid w:val="00874203"/>
    <w:rsid w:val="008D4A76"/>
    <w:rsid w:val="00953471"/>
    <w:rsid w:val="009730B7"/>
    <w:rsid w:val="00987DBE"/>
    <w:rsid w:val="00996B14"/>
    <w:rsid w:val="009A4A67"/>
    <w:rsid w:val="00A01BF0"/>
    <w:rsid w:val="00A40F8D"/>
    <w:rsid w:val="00A64178"/>
    <w:rsid w:val="00A92F96"/>
    <w:rsid w:val="00AF7CA4"/>
    <w:rsid w:val="00B01346"/>
    <w:rsid w:val="00B938DE"/>
    <w:rsid w:val="00BA493C"/>
    <w:rsid w:val="00BA4E56"/>
    <w:rsid w:val="00BB4BFA"/>
    <w:rsid w:val="00C50508"/>
    <w:rsid w:val="00C848E7"/>
    <w:rsid w:val="00C84BA1"/>
    <w:rsid w:val="00CA0BED"/>
    <w:rsid w:val="00CB08F1"/>
    <w:rsid w:val="00D37B4A"/>
    <w:rsid w:val="00D65D6D"/>
    <w:rsid w:val="00DC2FFB"/>
    <w:rsid w:val="00DE5E71"/>
    <w:rsid w:val="00E2400A"/>
    <w:rsid w:val="00E32A48"/>
    <w:rsid w:val="00E36E3E"/>
    <w:rsid w:val="00E37932"/>
    <w:rsid w:val="00EA402C"/>
    <w:rsid w:val="00EE624C"/>
    <w:rsid w:val="00F544B4"/>
    <w:rsid w:val="00FA21A5"/>
    <w:rsid w:val="00FA3CB8"/>
    <w:rsid w:val="00FE0161"/>
    <w:rsid w:val="0691441F"/>
    <w:rsid w:val="0C745029"/>
    <w:rsid w:val="0DF333BC"/>
    <w:rsid w:val="0F383DFA"/>
    <w:rsid w:val="113A1DBB"/>
    <w:rsid w:val="14FA3598"/>
    <w:rsid w:val="1F8316E1"/>
    <w:rsid w:val="234E092D"/>
    <w:rsid w:val="29EF1BFC"/>
    <w:rsid w:val="2E623851"/>
    <w:rsid w:val="3402659C"/>
    <w:rsid w:val="39D43BFD"/>
    <w:rsid w:val="3A3E0ED6"/>
    <w:rsid w:val="3CF44596"/>
    <w:rsid w:val="46E1641A"/>
    <w:rsid w:val="47432C38"/>
    <w:rsid w:val="4FE517BC"/>
    <w:rsid w:val="53831372"/>
    <w:rsid w:val="58B3641C"/>
    <w:rsid w:val="61053931"/>
    <w:rsid w:val="7C242368"/>
    <w:rsid w:val="7C31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82A3"/>
  <w15:docId w15:val="{491B5DE6-6F74-4C1C-849B-24C7DCBF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Hyperlink"/>
    <w:basedOn w:val="a1"/>
    <w:uiPriority w:val="99"/>
    <w:semiHidden/>
    <w:unhideWhenUsed/>
    <w:qFormat/>
    <w:rPr>
      <w:color w:val="0000FF"/>
      <w:u w:val="single"/>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paragraph" w:customStyle="1" w:styleId="1">
    <w:name w:val="列出段落1"/>
    <w:basedOn w:val="a"/>
    <w:qFormat/>
    <w:pPr>
      <w:spacing w:line="360" w:lineRule="auto"/>
      <w:ind w:firstLineChars="200" w:firstLine="420"/>
    </w:pPr>
    <w:rPr>
      <w:rFonts w:ascii="Calibri" w:eastAsia="Adobe Gothic Std B" w:hAnsi="Calibri"/>
      <w:sz w:val="28"/>
      <w:szCs w:val="24"/>
    </w:rPr>
  </w:style>
  <w:style w:type="character" w:customStyle="1" w:styleId="Char">
    <w:name w:val="页眉 Char"/>
    <w:uiPriority w:val="99"/>
    <w:rsid w:val="00616D0C"/>
    <w:rPr>
      <w:sz w:val="18"/>
      <w:szCs w:val="18"/>
    </w:rPr>
  </w:style>
  <w:style w:type="character" w:customStyle="1" w:styleId="Char0">
    <w:name w:val="页脚 Char"/>
    <w:uiPriority w:val="99"/>
    <w:qFormat/>
    <w:rsid w:val="00616D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7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2524E-B2D8-413F-9957-629FAD65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56</cp:revision>
  <cp:lastPrinted>2020-09-11T08:26:00Z</cp:lastPrinted>
  <dcterms:created xsi:type="dcterms:W3CDTF">2019-05-09T02:58:00Z</dcterms:created>
  <dcterms:modified xsi:type="dcterms:W3CDTF">2020-10-13T05:43:00Z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